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wmf" ContentType="image/x-wmf"/>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288"/>
        <w:jc w:val="center"/>
        <w:rPr>
          <w:rFonts w:ascii="Arial" w:hAnsi="Arial" w:cs="Arial"/>
          <w:b/>
          <w:bCs/>
          <w:color w:val="000000" w:themeColor="text1"/>
          <w:sz w:val="20"/>
          <w:szCs w:val="20"/>
        </w:rPr>
      </w:pPr>
      <w:r>
        <w:rPr>
          <w:rFonts w:cs="Arial" w:ascii="Arial" w:hAnsi="Arial"/>
          <w:b/>
          <w:bCs/>
          <w:color w:val="000000" w:themeColor="text1"/>
          <w:sz w:val="20"/>
          <w:szCs w:val="20"/>
        </w:rPr>
        <w:t>TERMO DE CONTRATO</w:t>
        <w:br/>
        <w:t>Lei nº 14.133, de 1º de abril de 2021</w:t>
        <w:br/>
        <w:t>SERVIÇOS – LICITAÇÃO</w:t>
      </w:r>
    </w:p>
    <w:p>
      <w:pPr>
        <w:pStyle w:val="Normal"/>
        <w:spacing w:lineRule="auto" w:line="276" w:before="120" w:after="288"/>
        <w:ind w:firstLine="709"/>
        <w:jc w:val="center"/>
        <w:rPr>
          <w:rFonts w:ascii="Arial" w:hAnsi="Arial" w:cs="Arial"/>
          <w:b/>
          <w:bCs/>
          <w:color w:val="000000" w:themeColor="text1"/>
          <w:sz w:val="20"/>
          <w:szCs w:val="20"/>
        </w:rPr>
      </w:pPr>
      <w:r>
        <w:rPr>
          <w:rFonts w:cs="Arial" w:ascii="Arial" w:hAnsi="Arial"/>
          <w:b/>
          <w:bCs/>
          <w:color w:val="000000" w:themeColor="text1"/>
          <w:sz w:val="20"/>
          <w:szCs w:val="20"/>
        </w:rPr>
        <w:drawing>
          <wp:anchor behindDoc="0" distT="0" distB="0" distL="114300" distR="114300" simplePos="0" locked="0" layoutInCell="0"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276" w:before="120" w:after="288"/>
        <w:ind w:firstLine="709"/>
        <w:jc w:val="center"/>
        <w:rPr>
          <w:rFonts w:ascii="Arial" w:hAnsi="Arial" w:cs="Arial"/>
          <w:b/>
          <w:i/>
          <w:i/>
          <w:color w:val="FF0000"/>
          <w:sz w:val="20"/>
          <w:szCs w:val="20"/>
        </w:rPr>
      </w:pPr>
      <w:r>
        <w:rPr>
          <w:rFonts w:cs="Arial" w:ascii="Arial" w:hAnsi="Arial"/>
          <w:b/>
          <w:i/>
          <w:color w:val="FF0000"/>
          <w:sz w:val="20"/>
          <w:szCs w:val="20"/>
        </w:rPr>
      </w:r>
    </w:p>
    <w:p>
      <w:pPr>
        <w:pStyle w:val="Normal"/>
        <w:spacing w:lineRule="auto" w:line="276" w:before="120" w:after="288"/>
        <w:ind w:firstLine="709"/>
        <w:jc w:val="center"/>
        <w:rPr>
          <w:rFonts w:ascii="Arial" w:hAnsi="Arial" w:cs="Arial"/>
          <w:b/>
          <w:i/>
          <w:i/>
          <w:color w:val="FF0000"/>
          <w:sz w:val="20"/>
          <w:szCs w:val="20"/>
        </w:rPr>
      </w:pPr>
      <w:r>
        <w:rPr>
          <w:rFonts w:cs="Arial" w:ascii="Arial" w:hAnsi="Arial"/>
          <w:b/>
          <w:i/>
          <w:color w:val="FF0000"/>
          <w:sz w:val="20"/>
          <w:szCs w:val="20"/>
        </w:rPr>
      </w:r>
    </w:p>
    <w:p>
      <w:pPr>
        <w:pStyle w:val="Normal"/>
        <w:spacing w:lineRule="auto" w:line="312" w:before="120" w:after="288"/>
        <w:ind w:firstLine="709"/>
        <w:jc w:val="center"/>
        <w:rPr>
          <w:rFonts w:ascii="Arial" w:hAnsi="Arial" w:eastAsia="Times New Roman" w:cs="Arial"/>
          <w:b/>
          <w:i/>
          <w:i/>
          <w:color w:val="FF0000"/>
          <w:sz w:val="20"/>
          <w:szCs w:val="20"/>
        </w:rPr>
      </w:pPr>
      <w:r>
        <w:rPr>
          <w:rFonts w:cs="Arial" w:ascii="Arial" w:hAnsi="Arial"/>
          <w:b/>
          <w:bCs/>
          <w:i/>
          <w:color w:val="000000"/>
          <w:sz w:val="20"/>
          <w:szCs w:val="20"/>
        </w:rPr>
        <w:t>3ª Brigada de Infantaria Motorizada</w:t>
      </w:r>
      <w:r>
        <w:rPr>
          <w:rFonts w:cs="Arial" w:ascii="Arial" w:hAnsi="Arial"/>
          <w:b/>
          <w:bCs/>
          <w:i/>
          <w:color w:val="FF0000"/>
          <w:sz w:val="20"/>
          <w:szCs w:val="20"/>
        </w:rPr>
        <w:t xml:space="preserve"> </w:t>
      </w:r>
    </w:p>
    <w:p>
      <w:pPr>
        <w:pStyle w:val="Normal"/>
        <w:spacing w:lineRule="auto" w:line="312" w:before="120" w:after="288"/>
        <w:ind w:firstLine="709"/>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w:t>
      </w:r>
      <w:r>
        <w:rPr>
          <w:rFonts w:cs="Arial" w:ascii="Arial" w:hAnsi="Arial"/>
          <w:b/>
          <w:bCs/>
          <w:color w:val="000000"/>
          <w:sz w:val="20"/>
          <w:szCs w:val="20"/>
          <w:shd w:fill="auto" w:val="clear"/>
        </w:rPr>
        <w:t>64290.005018/2023-67</w:t>
      </w:r>
      <w:r>
        <w:rPr>
          <w:rFonts w:cs="Arial" w:ascii="Arial" w:hAnsi="Arial"/>
          <w:bCs/>
          <w:color w:val="000000"/>
          <w:sz w:val="20"/>
          <w:szCs w:val="20"/>
        </w:rPr>
        <w:t>)</w:t>
      </w:r>
    </w:p>
    <w:p>
      <w:pPr>
        <w:pStyle w:val="Prembulo"/>
        <w:spacing w:lineRule="auto" w:line="312" w:before="480" w:after="288"/>
        <w:ind w:left="4253" w:right="-170" w:hanging="0"/>
        <w:rPr>
          <w:bCs w:val="false"/>
        </w:rPr>
      </w:pPr>
      <w:r>
        <w:rPr>
          <w:bCs w:val="false"/>
        </w:rPr>
        <w:t xml:space="preserve">CONTRATO ADMINISTRATIVO Nº ......../...., QUE FAZEM ENTRE SI A UNIÃO, POR INTERMÉDIO DO (A) ......................................................... E ............................................................. </w:t>
      </w:r>
    </w:p>
    <w:p>
      <w:pPr>
        <w:pStyle w:val="Normal"/>
        <w:spacing w:lineRule="auto" w:line="276" w:before="120" w:after="120"/>
        <w:ind w:firstLine="1418"/>
        <w:jc w:val="both"/>
        <w:rPr>
          <w:rFonts w:ascii="Arial" w:hAnsi="Arial" w:eastAsia="Arial" w:cs="Arial"/>
          <w:sz w:val="20"/>
          <w:szCs w:val="20"/>
        </w:rPr>
      </w:pPr>
      <w:r>
        <w:rPr>
          <w:rFonts w:eastAsia="Arial" w:cs="Arial" w:ascii="Arial" w:hAnsi="Arial"/>
          <w:sz w:val="20"/>
          <w:szCs w:val="20"/>
        </w:rPr>
      </w:r>
    </w:p>
    <w:p>
      <w:pPr>
        <w:pStyle w:val="Normal"/>
        <w:spacing w:lineRule="auto" w:line="276" w:before="120" w:after="120"/>
        <w:ind w:firstLine="1418"/>
        <w:jc w:val="both"/>
        <w:rPr>
          <w:rFonts w:ascii="Arial" w:hAnsi="Arial" w:eastAsia="Arial" w:cs="Arial"/>
          <w:sz w:val="20"/>
          <w:szCs w:val="20"/>
        </w:rPr>
      </w:pPr>
      <w:r>
        <w:rPr>
          <w:rFonts w:eastAsia="Arial" w:cs="Arial" w:ascii="Arial" w:hAnsi="Arial"/>
          <w:sz w:val="20"/>
          <w:szCs w:val="20"/>
        </w:rPr>
      </w:r>
    </w:p>
    <w:p>
      <w:pPr>
        <w:pStyle w:val="Normal"/>
        <w:spacing w:lineRule="auto" w:line="276" w:before="120" w:after="120"/>
        <w:ind w:firstLine="1418"/>
        <w:jc w:val="both"/>
        <w:rPr>
          <w:rFonts w:ascii="Arial" w:hAnsi="Arial" w:eastAsia="Arial" w:cs="Arial"/>
          <w:sz w:val="20"/>
          <w:szCs w:val="20"/>
        </w:rPr>
      </w:pPr>
      <w:r>
        <w:rPr>
          <w:rFonts w:eastAsia="Arial" w:cs="Arial" w:ascii="Arial" w:hAnsi="Arial"/>
          <w:sz w:val="20"/>
          <w:szCs w:val="20"/>
        </w:rPr>
      </w:r>
    </w:p>
    <w:p>
      <w:pPr>
        <w:pStyle w:val="Normal"/>
        <w:spacing w:lineRule="auto" w:line="276" w:before="120" w:after="120"/>
        <w:ind w:firstLine="1418"/>
        <w:jc w:val="both"/>
        <w:rPr>
          <w:rFonts w:ascii="Arial" w:hAnsi="Arial" w:eastAsia="Arial" w:cs="Arial"/>
          <w:sz w:val="20"/>
          <w:szCs w:val="20"/>
        </w:rPr>
      </w:pPr>
      <w:r>
        <w:rPr>
          <w:rFonts w:eastAsia="Arial" w:cs="Arial" w:ascii="Arial" w:hAnsi="Arial"/>
          <w:i/>
          <w:iCs/>
          <w:color w:val="000000"/>
          <w:sz w:val="20"/>
          <w:szCs w:val="20"/>
        </w:rPr>
        <w:t xml:space="preserve">O COMANDO DA 3ª BRIGADA DE INFANTARIA MOTORIZADA </w:t>
      </w:r>
      <w:r>
        <w:rPr>
          <w:rFonts w:eastAsia="Arial" w:cs="Arial" w:ascii="Arial" w:hAnsi="Arial"/>
          <w:color w:val="000000"/>
          <w:sz w:val="20"/>
          <w:szCs w:val="20"/>
        </w:rPr>
        <w:t xml:space="preserve">por intermédio da Seção de Aquisições Licitações e Contratos, </w:t>
      </w:r>
      <w:r>
        <w:rPr>
          <w:rFonts w:eastAsia="Arial" w:cs="Arial" w:ascii="Arial" w:hAnsi="Arial"/>
          <w:sz w:val="20"/>
          <w:szCs w:val="20"/>
        </w:rPr>
        <w:t>com sede no a  rua Visconde de Mauá, S/N, Centro, CEP: 73850-000, na cidade de Cristalina-GO, inscrito no CNPJ sob o nº</w:t>
      </w:r>
      <w:r>
        <w:rPr>
          <w:rFonts w:eastAsia="Arial" w:cs="Cambria" w:ascii="Arial" w:hAnsi="Arial" w:cstheme="minorHAnsi"/>
          <w:color w:val="000000"/>
          <w:sz w:val="20"/>
          <w:szCs w:val="20"/>
        </w:rPr>
        <w:t>10.263.331/0001-78</w:t>
      </w:r>
      <w:r>
        <w:rPr>
          <w:rFonts w:eastAsia="Arial" w:cs="Arial" w:ascii="Arial" w:hAnsi="Arial"/>
          <w:sz w:val="20"/>
          <w:szCs w:val="20"/>
        </w:rPr>
        <w:t xml:space="preserve">, neste ato representado pelo Ordenador de Despesas – Coronel Fabrício Consentino Eloy, nomeado(a) pelo boletim nº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20</w:t>
      </w:r>
      <w:r>
        <w:rPr>
          <w:rFonts w:eastAsia="Arial" w:cs="Arial" w:ascii="Arial" w:hAnsi="Arial"/>
          <w:color w:val="FF0000"/>
          <w:sz w:val="20"/>
          <w:szCs w:val="20"/>
        </w:rPr>
        <w:t>...</w:t>
      </w:r>
      <w:r>
        <w:rPr>
          <w:rFonts w:eastAsia="Arial" w:cs="Arial" w:ascii="Arial" w:hAnsi="Arial"/>
          <w:sz w:val="20"/>
          <w:szCs w:val="20"/>
        </w:rPr>
        <w:t>, publicada no</w:t>
      </w:r>
      <w:r>
        <w:rPr>
          <w:rFonts w:eastAsia="Arial" w:cs="Arial" w:ascii="Arial" w:hAnsi="Arial"/>
          <w:i/>
          <w:iCs/>
          <w:sz w:val="20"/>
          <w:szCs w:val="20"/>
        </w:rPr>
        <w:t xml:space="preserve"> DOU </w:t>
      </w:r>
      <w:r>
        <w:rPr>
          <w:rFonts w:eastAsia="Arial" w:cs="Arial" w:ascii="Arial" w:hAnsi="Arial"/>
          <w:sz w:val="20"/>
          <w:szCs w:val="20"/>
        </w:rPr>
        <w:t xml:space="preserve">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portador da Matrícula Funcional nº .........., doravante denominado CONTRATANTE, e o(a) </w:t>
      </w:r>
      <w:r>
        <w:rPr>
          <w:rFonts w:eastAsia="Arial" w:cs="Arial" w:ascii="Arial" w:hAnsi="Arial"/>
          <w:color w:val="FF0000"/>
          <w:sz w:val="20"/>
          <w:szCs w:val="20"/>
        </w:rPr>
        <w:t>..............................,</w:t>
      </w:r>
      <w:r>
        <w:rPr>
          <w:rFonts w:eastAsia="Arial" w:cs="Arial" w:ascii="Arial" w:hAnsi="Arial"/>
          <w:sz w:val="20"/>
          <w:szCs w:val="20"/>
        </w:rPr>
        <w:t xml:space="preserve"> </w:t>
      </w:r>
      <w:r>
        <w:rPr>
          <w:rFonts w:eastAsia="Arial" w:cs="Arial" w:ascii="Arial" w:hAnsi="Arial"/>
          <w:i/>
          <w:iCs/>
          <w:color w:val="FF0000"/>
          <w:sz w:val="20"/>
          <w:szCs w:val="20"/>
        </w:rPr>
        <w:t>inscrito(a) no CNPJ/MF sob o nº ............................, sediado(a) na</w:t>
      </w:r>
      <w:r>
        <w:rPr>
          <w:rFonts w:eastAsia="Arial" w:cs="Arial" w:ascii="Arial" w:hAnsi="Arial"/>
          <w:sz w:val="20"/>
          <w:szCs w:val="20"/>
        </w:rPr>
        <w:t xml:space="preserve"> </w:t>
      </w:r>
      <w:r>
        <w:rPr>
          <w:rFonts w:eastAsia="Arial" w:cs="Arial" w:ascii="Arial" w:hAnsi="Arial"/>
          <w:color w:val="FF0000"/>
          <w:sz w:val="20"/>
          <w:szCs w:val="20"/>
        </w:rPr>
        <w:t>...................................</w:t>
      </w:r>
      <w:r>
        <w:rPr>
          <w:rFonts w:eastAsia="Arial" w:cs="Arial" w:ascii="Arial" w:hAnsi="Arial"/>
          <w:sz w:val="20"/>
          <w:szCs w:val="20"/>
        </w:rPr>
        <w:t xml:space="preserve">, </w:t>
      </w:r>
      <w:r>
        <w:rPr>
          <w:rFonts w:eastAsia="Arial" w:cs="Arial" w:ascii="Arial" w:hAnsi="Arial"/>
          <w:i/>
          <w:iCs/>
          <w:color w:val="FF0000"/>
          <w:sz w:val="20"/>
          <w:szCs w:val="20"/>
        </w:rPr>
        <w:t>em</w:t>
      </w:r>
      <w:r>
        <w:rPr>
          <w:rFonts w:eastAsia="Arial" w:cs="Arial" w:ascii="Arial" w:hAnsi="Arial"/>
          <w:sz w:val="20"/>
          <w:szCs w:val="20"/>
        </w:rPr>
        <w:t xml:space="preserve"> </w:t>
      </w:r>
      <w:r>
        <w:rPr>
          <w:rFonts w:eastAsia="Arial" w:cs="Arial" w:ascii="Arial" w:hAnsi="Arial"/>
          <w:color w:val="FF0000"/>
          <w:sz w:val="20"/>
          <w:szCs w:val="20"/>
        </w:rPr>
        <w:t>.............................</w:t>
      </w:r>
      <w:r>
        <w:rPr>
          <w:rFonts w:eastAsia="Arial" w:cs="Arial" w:ascii="Arial" w:hAnsi="Arial"/>
          <w:sz w:val="20"/>
          <w:szCs w:val="20"/>
        </w:rPr>
        <w:t xml:space="preserve"> doravante designado CONTRATADO, </w:t>
      </w:r>
      <w:r>
        <w:rPr>
          <w:rFonts w:eastAsia="Arial" w:cs="Arial" w:ascii="Arial" w:hAnsi="Arial"/>
          <w:i/>
          <w:iCs/>
          <w:color w:val="FF0000"/>
          <w:sz w:val="20"/>
          <w:szCs w:val="20"/>
        </w:rPr>
        <w:t>neste ato representado(a) por</w:t>
      </w:r>
      <w:r>
        <w:rPr>
          <w:rFonts w:eastAsia="Arial" w:cs="Arial" w:ascii="Arial" w:hAnsi="Arial"/>
          <w:color w:val="FF0000"/>
          <w:sz w:val="20"/>
          <w:szCs w:val="20"/>
        </w:rPr>
        <w:t xml:space="preserve"> </w:t>
      </w:r>
      <w:r>
        <w:rPr>
          <w:rFonts w:eastAsia="Arial" w:cs="Arial" w:ascii="Arial" w:hAnsi="Arial"/>
          <w:sz w:val="20"/>
          <w:szCs w:val="20"/>
        </w:rPr>
        <w:t xml:space="preserve">.................................. </w:t>
      </w:r>
      <w:r>
        <w:rPr>
          <w:rFonts w:eastAsia="Arial" w:cs="Arial" w:ascii="Arial" w:hAnsi="Arial"/>
          <w:color w:val="FF0000"/>
          <w:sz w:val="20"/>
          <w:szCs w:val="20"/>
        </w:rPr>
        <w:t>(nome e função no contratado)</w:t>
      </w:r>
      <w:r>
        <w:rPr>
          <w:rFonts w:eastAsia="Arial" w:cs="Arial" w:ascii="Arial" w:hAnsi="Arial"/>
          <w:sz w:val="20"/>
          <w:szCs w:val="20"/>
        </w:rPr>
        <w:t xml:space="preserve">, </w:t>
      </w:r>
      <w:r>
        <w:rPr>
          <w:rFonts w:eastAsia="Arial" w:cs="Arial" w:ascii="Arial" w:hAnsi="Arial"/>
          <w:i/>
          <w:iCs/>
          <w:color w:val="FF0000"/>
          <w:sz w:val="20"/>
          <w:szCs w:val="20"/>
        </w:rPr>
        <w:t xml:space="preserve">conforme atos constitutivos da empresa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procuração apresentada nos autos, </w:t>
      </w:r>
      <w:r>
        <w:rPr>
          <w:rFonts w:eastAsia="Arial" w:cs="Arial" w:ascii="Arial" w:hAnsi="Arial"/>
          <w:sz w:val="20"/>
          <w:szCs w:val="20"/>
        </w:rPr>
        <w:t xml:space="preserve">tendo em vista o que consta no Processo nº </w:t>
      </w:r>
      <w:r>
        <w:rPr>
          <w:rFonts w:eastAsia="Arial" w:cs="Arial" w:ascii="Arial" w:hAnsi="Arial"/>
          <w:color w:val="FF0000"/>
          <w:sz w:val="20"/>
          <w:szCs w:val="20"/>
        </w:rPr>
        <w:t xml:space="preserve">.............................. </w:t>
      </w:r>
      <w:r>
        <w:rPr>
          <w:rFonts w:eastAsia="Arial" w:cs="Arial" w:ascii="Arial" w:hAnsi="Arial"/>
          <w:sz w:val="20"/>
          <w:szCs w:val="20"/>
        </w:rPr>
        <w:t xml:space="preserve">e em observância às disposições da Lei nº 14.133, de 1º de abril de 2021, e demais legislação aplicável, resolvem celebrar o presente Termo de Contrato, decorrente </w:t>
      </w:r>
      <w:r>
        <w:rPr>
          <w:rFonts w:eastAsia="Arial" w:cs="Arial" w:ascii="Arial" w:hAnsi="Arial"/>
          <w:i/>
          <w:iCs/>
          <w:color w:val="000000"/>
          <w:sz w:val="20"/>
          <w:szCs w:val="20"/>
        </w:rPr>
        <w:t>do Pregão Eletrônico n. 14/2023</w:t>
      </w:r>
      <w:r>
        <w:rPr>
          <w:rFonts w:eastAsia="Arial" w:cs="Arial" w:ascii="Arial" w:hAnsi="Arial"/>
          <w:sz w:val="20"/>
          <w:szCs w:val="20"/>
        </w:rPr>
        <w:t>, mediante as cláusulas e condições a seguir enunciadas.</w:t>
      </w:r>
    </w:p>
    <w:p>
      <w:pPr>
        <w:pStyle w:val="Nivel01"/>
        <w:numPr>
          <w:ilvl w:val="0"/>
          <w:numId w:val="137"/>
        </w:numPr>
        <w:rPr>
          <w:color w:val="FFFFFF" w:themeColor="background1"/>
        </w:rPr>
      </w:pPr>
      <w:r>
        <w:rPr/>
        <w:t>CLÁUSULA PRIMEIRA – OBJETO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I e II</w:t>
      </w:r>
      <w:r>
        <w:rPr>
          <w:rStyle w:val="LinkdaInternet"/>
        </w:rPr>
        <w:fldChar w:fldCharType="end"/>
      </w:r>
      <w:r>
        <w:rPr/>
        <w:t>)</w:t>
      </w:r>
    </w:p>
    <w:p>
      <w:pPr>
        <w:pStyle w:val="Normal"/>
        <w:rPr>
          <w:color w:val="FFFFFF" w:themeColor="background1"/>
        </w:rPr>
      </w:pPr>
      <w:r>
        <w:rPr>
          <w:color w:val="FFFFFF" w:themeColor="background1"/>
        </w:rPr>
      </w:r>
    </w:p>
    <w:p>
      <w:pPr>
        <w:pStyle w:val="Nivel2"/>
        <w:numPr>
          <w:ilvl w:val="1"/>
          <w:numId w:val="138"/>
        </w:numPr>
        <w:ind w:left="0" w:hanging="0"/>
        <w:rPr/>
      </w:pPr>
      <w:r>
        <w:rPr/>
        <w:t xml:space="preserve">O objeto do presente instrumento é a contratação de serviço </w:t>
      </w:r>
      <w:r>
        <w:rPr>
          <w:shd w:fill="auto" w:val="clear"/>
        </w:rPr>
        <w:t>comum</w:t>
      </w:r>
      <w:r>
        <w:rPr/>
        <w:t xml:space="preserve"> de agenciamento de viagens e aquisição de passagens aéreas e rodoviárias nacionais, compreendendo os serviços de emissão, alteração, remarcação e cancelamento de passagem, bem como de serviços correlatos, nas condições estabelecidas no Termo de Referência.</w:t>
      </w:r>
    </w:p>
    <w:p>
      <w:pPr>
        <w:pStyle w:val="Nivel2"/>
        <w:numPr>
          <w:ilvl w:val="0"/>
          <w:numId w:val="0"/>
        </w:numPr>
        <w:ind w:left="0" w:hanging="0"/>
        <w:rPr/>
      </w:pPr>
      <w:r>
        <w:rPr/>
      </w:r>
    </w:p>
    <w:p>
      <w:pPr>
        <w:pStyle w:val="Nivel2"/>
        <w:numPr>
          <w:ilvl w:val="0"/>
          <w:numId w:val="0"/>
        </w:numPr>
        <w:ind w:left="0" w:hanging="0"/>
        <w:rPr/>
      </w:pPr>
      <w:r>
        <w:rPr/>
      </w:r>
    </w:p>
    <w:p>
      <w:pPr>
        <w:pStyle w:val="Nivel2"/>
        <w:numPr>
          <w:ilvl w:val="0"/>
          <w:numId w:val="0"/>
        </w:numPr>
        <w:ind w:left="0" w:hanging="0"/>
        <w:rPr/>
      </w:pPr>
      <w:r>
        <w:rPr/>
      </w:r>
    </w:p>
    <w:p>
      <w:pPr>
        <w:pStyle w:val="Nivel2"/>
        <w:numPr>
          <w:ilvl w:val="1"/>
          <w:numId w:val="139"/>
        </w:numPr>
        <w:ind w:left="0" w:hanging="0"/>
        <w:rPr/>
      </w:pPr>
      <w:r>
        <w:rPr/>
        <w:t>Objeto da contratação:</w:t>
      </w:r>
    </w:p>
    <w:tbl>
      <w:tblPr>
        <w:tblW w:w="11280" w:type="dxa"/>
        <w:jc w:val="left"/>
        <w:tblInd w:w="-816" w:type="dxa"/>
        <w:tblLayout w:type="fixed"/>
        <w:tblCellMar>
          <w:top w:w="0" w:type="dxa"/>
          <w:left w:w="10" w:type="dxa"/>
          <w:bottom w:w="0" w:type="dxa"/>
          <w:right w:w="10" w:type="dxa"/>
        </w:tblCellMar>
        <w:tblLook w:firstRow="0" w:noVBand="0" w:lastRow="0" w:firstColumn="0" w:lastColumn="0" w:noHBand="0" w:val="0000"/>
      </w:tblPr>
      <w:tblGrid>
        <w:gridCol w:w="739"/>
        <w:gridCol w:w="570"/>
        <w:gridCol w:w="5621"/>
        <w:gridCol w:w="909"/>
        <w:gridCol w:w="1171"/>
        <w:gridCol w:w="1250"/>
        <w:gridCol w:w="1019"/>
      </w:tblGrid>
      <w:tr>
        <w:trPr>
          <w:trHeight w:val="511" w:hRule="atLeast"/>
        </w:trPr>
        <w:tc>
          <w:tcPr>
            <w:tcW w:w="11279" w:type="dxa"/>
            <w:gridSpan w:val="7"/>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hanging="0"/>
              <w:jc w:val="center"/>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tc>
      </w:tr>
      <w:tr>
        <w:trPr>
          <w:trHeight w:val="674" w:hRule="atLeast"/>
        </w:trPr>
        <w:tc>
          <w:tcPr>
            <w:tcW w:w="739" w:type="dxa"/>
            <w:tcBorders>
              <w:left w:val="single" w:sz="2" w:space="0" w:color="000000"/>
              <w:bottom w:val="single" w:sz="2" w:space="0" w:color="000000"/>
            </w:tcBorders>
          </w:tcPr>
          <w:p>
            <w:pPr>
              <w:pStyle w:val="Normal"/>
              <w:widowControl w:val="false"/>
              <w:spacing w:lineRule="auto" w:line="360"/>
              <w:ind w:right="-30" w:hanging="0"/>
              <w:jc w:val="center"/>
              <w:rPr/>
            </w:pPr>
            <w:r>
              <w:rPr>
                <w:rFonts w:cs="Arial" w:ascii="Arial" w:hAnsi="Arial"/>
                <w:sz w:val="20"/>
                <w:szCs w:val="20"/>
              </w:rPr>
              <w:t>GRUPO</w:t>
            </w:r>
          </w:p>
        </w:tc>
        <w:tc>
          <w:tcPr>
            <w:tcW w:w="570" w:type="dxa"/>
            <w:tcBorders>
              <w:left w:val="single" w:sz="2" w:space="0" w:color="000000"/>
              <w:bottom w:val="single" w:sz="2" w:space="0" w:color="000000"/>
            </w:tcBorders>
          </w:tcPr>
          <w:p>
            <w:pPr>
              <w:pStyle w:val="Normal"/>
              <w:widowControl w:val="false"/>
              <w:spacing w:lineRule="auto" w:line="360"/>
              <w:ind w:right="-30" w:hanging="0"/>
              <w:jc w:val="center"/>
              <w:rPr/>
            </w:pPr>
            <w:r>
              <w:rPr>
                <w:rFonts w:cs="Arial" w:ascii="Arial" w:hAnsi="Arial"/>
                <w:i/>
                <w:iCs/>
                <w:sz w:val="20"/>
                <w:szCs w:val="20"/>
              </w:rPr>
              <w:t>ITEM</w:t>
            </w:r>
          </w:p>
        </w:tc>
        <w:tc>
          <w:tcPr>
            <w:tcW w:w="5621" w:type="dxa"/>
            <w:tcBorders>
              <w:left w:val="single" w:sz="2" w:space="0" w:color="000000"/>
              <w:bottom w:val="single" w:sz="2" w:space="0" w:color="000000"/>
            </w:tcBorders>
          </w:tcPr>
          <w:p>
            <w:pPr>
              <w:pStyle w:val="Normal"/>
              <w:widowControl w:val="false"/>
              <w:spacing w:lineRule="auto" w:line="360"/>
              <w:ind w:right="-30" w:hanging="0"/>
              <w:jc w:val="center"/>
              <w:rPr/>
            </w:pPr>
            <w:r>
              <w:rPr>
                <w:rFonts w:cs="Arial" w:ascii="Arial" w:hAnsi="Arial"/>
                <w:i/>
                <w:iCs/>
                <w:sz w:val="20"/>
                <w:szCs w:val="20"/>
              </w:rPr>
              <w:t>DESCRIÇÃO/ESPECIFICAÇÃO</w:t>
            </w:r>
          </w:p>
        </w:tc>
        <w:tc>
          <w:tcPr>
            <w:tcW w:w="909" w:type="dxa"/>
            <w:tcBorders>
              <w:left w:val="single" w:sz="2" w:space="0" w:color="000000"/>
              <w:bottom w:val="single" w:sz="2" w:space="0" w:color="000000"/>
            </w:tcBorders>
          </w:tcPr>
          <w:p>
            <w:pPr>
              <w:pStyle w:val="Normal"/>
              <w:widowControl w:val="false"/>
              <w:spacing w:lineRule="auto" w:line="360"/>
              <w:ind w:right="-30" w:hanging="0"/>
              <w:jc w:val="center"/>
              <w:rPr/>
            </w:pPr>
            <w:r>
              <w:rPr>
                <w:rFonts w:cs="Arial" w:ascii="Arial" w:hAnsi="Arial"/>
                <w:sz w:val="20"/>
                <w:szCs w:val="20"/>
              </w:rPr>
              <w:t>Unidade</w:t>
            </w:r>
          </w:p>
        </w:tc>
        <w:tc>
          <w:tcPr>
            <w:tcW w:w="1171" w:type="dxa"/>
            <w:tcBorders>
              <w:left w:val="single" w:sz="2" w:space="0" w:color="000000"/>
              <w:bottom w:val="single" w:sz="2" w:space="0" w:color="000000"/>
            </w:tcBorders>
          </w:tcPr>
          <w:p>
            <w:pPr>
              <w:pStyle w:val="Normal"/>
              <w:widowControl w:val="false"/>
              <w:spacing w:lineRule="auto" w:line="360"/>
              <w:ind w:right="-30" w:hanging="0"/>
              <w:jc w:val="center"/>
              <w:rPr/>
            </w:pPr>
            <w:r>
              <w:rPr>
                <w:rFonts w:cs="Arial" w:ascii="Arial" w:hAnsi="Arial"/>
                <w:sz w:val="20"/>
                <w:szCs w:val="20"/>
              </w:rPr>
              <w:t>Quantidade</w:t>
            </w:r>
          </w:p>
        </w:tc>
        <w:tc>
          <w:tcPr>
            <w:tcW w:w="1250"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pPr>
            <w:r>
              <w:rPr>
                <w:rFonts w:cs="Arial" w:ascii="Arial" w:hAnsi="Arial"/>
                <w:sz w:val="20"/>
                <w:szCs w:val="20"/>
              </w:rPr>
              <w:t>Valor unitário (R$)</w:t>
            </w:r>
          </w:p>
        </w:tc>
        <w:tc>
          <w:tcPr>
            <w:tcW w:w="1019" w:type="dxa"/>
            <w:tcBorders>
              <w:left w:val="single" w:sz="2" w:space="0" w:color="000000"/>
              <w:bottom w:val="single" w:sz="2" w:space="0" w:color="000000"/>
              <w:right w:val="single" w:sz="2" w:space="0" w:color="000000"/>
            </w:tcBorders>
          </w:tcPr>
          <w:p>
            <w:pPr>
              <w:pStyle w:val="Normal"/>
              <w:widowControl w:val="false"/>
              <w:bidi w:val="0"/>
              <w:spacing w:lineRule="auto" w:line="360" w:before="0" w:after="0"/>
              <w:ind w:left="0" w:right="0" w:hanging="0"/>
              <w:jc w:val="center"/>
              <w:rPr/>
            </w:pPr>
            <w:r>
              <w:rPr>
                <w:rFonts w:cs="Arial" w:ascii="Arial" w:hAnsi="Arial"/>
                <w:sz w:val="20"/>
                <w:szCs w:val="20"/>
              </w:rPr>
              <w:t>Valor total (R$)</w:t>
            </w:r>
          </w:p>
        </w:tc>
      </w:tr>
      <w:tr>
        <w:trPr>
          <w:trHeight w:val="174" w:hRule="atLeast"/>
        </w:trPr>
        <w:tc>
          <w:tcPr>
            <w:tcW w:w="739" w:type="dxa"/>
            <w:vMerge w:val="restart"/>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1</w:t>
            </w:r>
          </w:p>
        </w:tc>
        <w:tc>
          <w:tcPr>
            <w:tcW w:w="57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1</w:t>
            </w:r>
          </w:p>
        </w:tc>
        <w:tc>
          <w:tcPr>
            <w:tcW w:w="5621" w:type="dxa"/>
            <w:tcBorders>
              <w:left w:val="single" w:sz="2" w:space="0" w:color="000000"/>
              <w:bottom w:val="single" w:sz="2" w:space="0" w:color="000000"/>
            </w:tcBorders>
          </w:tcPr>
          <w:p>
            <w:pPr>
              <w:pStyle w:val="Contedodatabela"/>
              <w:widowControl w:val="false"/>
              <w:jc w:val="both"/>
              <w:rPr>
                <w:rFonts w:ascii="Times New Roman" w:hAnsi="Times New Roman" w:cs="Times New Roman"/>
                <w:color w:val="000000" w:themeColor="text1"/>
                <w:sz w:val="24"/>
                <w:szCs w:val="24"/>
              </w:rPr>
            </w:pPr>
            <w:r>
              <w:rPr>
                <w:rFonts w:eastAsia="Times New Roman" w:cs="Times New Roman"/>
                <w:color w:val="000000" w:themeColor="text1"/>
                <w:sz w:val="24"/>
                <w:szCs w:val="24"/>
              </w:rPr>
              <w:t>SERVIÇO DE AGENCIAMENTO SOBRE EMISSÃO DE BILHETES DE PASSAGEM - VOOS DOMÉSTICOS - ASSESSORIA, COTAÇÃO, RESERVA, EMISSÃO DE BILHETES DE PASSAGENS, ALTERAÇÃO, CANCELAMENTO, EMISSÃO DE SEGURO VIAGEM E  REEMBOLSO.</w:t>
            </w:r>
          </w:p>
        </w:tc>
        <w:tc>
          <w:tcPr>
            <w:tcW w:w="909"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Sv</w:t>
            </w:r>
          </w:p>
        </w:tc>
        <w:tc>
          <w:tcPr>
            <w:tcW w:w="1171" w:type="dxa"/>
            <w:tcBorders>
              <w:left w:val="single" w:sz="2" w:space="0" w:color="000000"/>
              <w:bottom w:val="single" w:sz="2" w:space="0" w:color="000000"/>
            </w:tcBorders>
          </w:tcPr>
          <w:p>
            <w:pPr>
              <w:pStyle w:val="Contedodatabela"/>
              <w:widowControl w:val="false"/>
              <w:jc w:val="center"/>
              <w:rPr>
                <w:rFonts w:ascii="Times New Roman" w:hAnsi="Times New Roman" w:cs="Times New Roman"/>
                <w:color w:val="000000" w:themeColor="text1"/>
                <w:sz w:val="24"/>
                <w:szCs w:val="24"/>
              </w:rPr>
            </w:pPr>
            <w:r>
              <w:rPr>
                <w:rFonts w:cs="Times New Roman"/>
                <w:color w:val="000000" w:themeColor="text1"/>
                <w:sz w:val="24"/>
                <w:szCs w:val="24"/>
              </w:rPr>
            </w:r>
          </w:p>
          <w:p>
            <w:pPr>
              <w:pStyle w:val="Contedodatabela"/>
              <w:widowControl w:val="false"/>
              <w:jc w:val="center"/>
              <w:rPr>
                <w:rFonts w:ascii="Times New Roman" w:hAnsi="Times New Roman" w:cs="Times New Roman"/>
                <w:color w:val="000000" w:themeColor="text1"/>
                <w:sz w:val="24"/>
                <w:szCs w:val="24"/>
              </w:rPr>
            </w:pPr>
            <w:r>
              <w:rPr>
                <w:rFonts w:cs="Times New Roman"/>
                <w:color w:val="000000" w:themeColor="text1"/>
                <w:sz w:val="24"/>
                <w:szCs w:val="24"/>
              </w:rPr>
            </w:r>
          </w:p>
          <w:p>
            <w:pPr>
              <w:pStyle w:val="Contedodatabela"/>
              <w:widowControl w:val="false"/>
              <w:jc w:val="center"/>
              <w:rPr>
                <w:rFonts w:ascii="Times New Roman" w:hAnsi="Times New Roman" w:cs="Times New Roman"/>
                <w:color w:val="000000" w:themeColor="text1"/>
                <w:sz w:val="24"/>
                <w:szCs w:val="24"/>
              </w:rPr>
            </w:pPr>
            <w:r>
              <w:rPr>
                <w:rFonts w:cs="Times New Roman"/>
                <w:color w:val="000000" w:themeColor="text1"/>
                <w:sz w:val="24"/>
                <w:szCs w:val="24"/>
              </w:rPr>
            </w:r>
          </w:p>
          <w:p>
            <w:pPr>
              <w:pStyle w:val="Contedodatabela"/>
              <w:widowControl w:val="false"/>
              <w:jc w:val="center"/>
              <w:rPr>
                <w:rFonts w:ascii="Times New Roman" w:hAnsi="Times New Roman" w:cs="Times New Roman"/>
                <w:color w:val="000000" w:themeColor="text1"/>
                <w:sz w:val="24"/>
                <w:szCs w:val="24"/>
              </w:rPr>
            </w:pPr>
            <w:r>
              <w:rPr>
                <w:rFonts w:cs="Times New Roman"/>
                <w:color w:val="000000" w:themeColor="text1"/>
                <w:sz w:val="24"/>
                <w:szCs w:val="24"/>
              </w:rPr>
            </w:r>
          </w:p>
          <w:p>
            <w:pPr>
              <w:pStyle w:val="Contedodatabela"/>
              <w:widowControl w:val="false"/>
              <w:jc w:val="center"/>
              <w:rPr>
                <w:rFonts w:ascii="Times New Roman" w:hAnsi="Times New Roman" w:cs="Times New Roman"/>
                <w:color w:val="000000" w:themeColor="text1"/>
                <w:sz w:val="24"/>
                <w:szCs w:val="24"/>
              </w:rPr>
            </w:pPr>
            <w:r>
              <w:rPr>
                <w:rFonts w:eastAsia="Times New Roman" w:cs="Times New Roman"/>
                <w:color w:val="000000" w:themeColor="text1"/>
                <w:sz w:val="24"/>
                <w:szCs w:val="24"/>
              </w:rPr>
              <w:t>100</w:t>
            </w:r>
          </w:p>
          <w:p>
            <w:pPr>
              <w:pStyle w:val="Contedodatabela"/>
              <w:widowControl w:val="false"/>
              <w:jc w:val="center"/>
              <w:rPr>
                <w:rFonts w:ascii="Times New Roman" w:hAnsi="Times New Roman" w:cs="Times New Roman"/>
                <w:color w:val="000000" w:themeColor="text1"/>
                <w:sz w:val="24"/>
                <w:szCs w:val="24"/>
              </w:rPr>
            </w:pPr>
            <w:r>
              <w:rPr>
                <w:rFonts w:cs="Times New Roman"/>
                <w:color w:val="000000" w:themeColor="text1"/>
                <w:sz w:val="24"/>
                <w:szCs w:val="24"/>
              </w:rPr>
            </w:r>
          </w:p>
        </w:tc>
        <w:tc>
          <w:tcPr>
            <w:tcW w:w="1250"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019"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r>
      <w:tr>
        <w:trPr>
          <w:trHeight w:val="174" w:hRule="atLeast"/>
        </w:trPr>
        <w:tc>
          <w:tcPr>
            <w:tcW w:w="739" w:type="dxa"/>
            <w:vMerge w:val="continue"/>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tc>
        <w:tc>
          <w:tcPr>
            <w:tcW w:w="57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2</w:t>
            </w:r>
          </w:p>
        </w:tc>
        <w:tc>
          <w:tcPr>
            <w:tcW w:w="5621" w:type="dxa"/>
            <w:tcBorders>
              <w:left w:val="single" w:sz="2" w:space="0" w:color="000000"/>
              <w:bottom w:val="single" w:sz="2" w:space="0" w:color="000000"/>
            </w:tcBorders>
          </w:tcPr>
          <w:p>
            <w:pPr>
              <w:pStyle w:val="Contedodatabela"/>
              <w:widowControl w:val="false"/>
              <w:jc w:val="both"/>
              <w:rPr>
                <w:rFonts w:ascii="Times New Roman" w:hAnsi="Times New Roman" w:cs="Times New Roman"/>
                <w:color w:val="000000" w:themeColor="text1"/>
                <w:sz w:val="24"/>
                <w:szCs w:val="24"/>
              </w:rPr>
            </w:pPr>
            <w:r>
              <w:rPr>
                <w:rFonts w:eastAsia="Times New Roman" w:cs="Times New Roman"/>
                <w:color w:val="000000" w:themeColor="text1"/>
                <w:sz w:val="24"/>
                <w:szCs w:val="24"/>
              </w:rPr>
              <w:t>REPASSE - VOOS DOMÉSTICOS - VALORES DAS TARIFAS, TAXAS DE EMBARQUE E OUTRAS TAXAS E MULTAS DEVIDAS ÀS COMPANHIAS AÉREAS EM RAZÃO DA EMISSÃO, ALTERAÇÃO, CANCELAMENTO E REEMBOLSO DE BILHETES DE PASSAGENS NACIONAIS ADQUIRIDOS.</w:t>
            </w:r>
          </w:p>
        </w:tc>
        <w:tc>
          <w:tcPr>
            <w:tcW w:w="909"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Sv</w:t>
            </w:r>
          </w:p>
        </w:tc>
        <w:tc>
          <w:tcPr>
            <w:tcW w:w="1171" w:type="dxa"/>
            <w:tcBorders>
              <w:left w:val="single" w:sz="2" w:space="0" w:color="000000"/>
              <w:bottom w:val="single" w:sz="2" w:space="0" w:color="000000"/>
            </w:tcBorders>
          </w:tcPr>
          <w:p>
            <w:pPr>
              <w:pStyle w:val="Contedodatabela"/>
              <w:widowControl w:val="false"/>
              <w:jc w:val="center"/>
              <w:rPr>
                <w:rFonts w:ascii="Times New Roman" w:hAnsi="Times New Roman" w:cs="Times New Roman"/>
                <w:color w:val="000000" w:themeColor="text1"/>
                <w:sz w:val="24"/>
                <w:szCs w:val="24"/>
              </w:rPr>
            </w:pPr>
            <w:r>
              <w:rPr>
                <w:rFonts w:cs="Times New Roman"/>
                <w:color w:val="000000" w:themeColor="text1"/>
                <w:sz w:val="24"/>
                <w:szCs w:val="24"/>
              </w:rPr>
            </w:r>
          </w:p>
          <w:p>
            <w:pPr>
              <w:pStyle w:val="Contedodatabela"/>
              <w:widowControl w:val="false"/>
              <w:jc w:val="center"/>
              <w:rPr>
                <w:rFonts w:ascii="Times New Roman" w:hAnsi="Times New Roman" w:cs="Times New Roman"/>
                <w:color w:val="000000" w:themeColor="text1"/>
                <w:sz w:val="24"/>
                <w:szCs w:val="24"/>
              </w:rPr>
            </w:pPr>
            <w:r>
              <w:rPr>
                <w:rFonts w:cs="Times New Roman"/>
                <w:color w:val="000000" w:themeColor="text1"/>
                <w:sz w:val="24"/>
                <w:szCs w:val="24"/>
              </w:rPr>
            </w:r>
          </w:p>
          <w:p>
            <w:pPr>
              <w:pStyle w:val="Contedodatabela"/>
              <w:widowControl w:val="false"/>
              <w:jc w:val="center"/>
              <w:rPr>
                <w:rFonts w:ascii="Times New Roman" w:hAnsi="Times New Roman" w:cs="Times New Roman"/>
                <w:color w:val="000000" w:themeColor="text1"/>
                <w:sz w:val="24"/>
                <w:szCs w:val="24"/>
              </w:rPr>
            </w:pPr>
            <w:r>
              <w:rPr>
                <w:rFonts w:cs="Times New Roman"/>
                <w:color w:val="000000" w:themeColor="text1"/>
                <w:sz w:val="24"/>
                <w:szCs w:val="24"/>
              </w:rPr>
            </w:r>
          </w:p>
          <w:p>
            <w:pPr>
              <w:pStyle w:val="Contedodatabela"/>
              <w:widowControl w:val="false"/>
              <w:jc w:val="center"/>
              <w:rPr>
                <w:rFonts w:ascii="Times New Roman" w:hAnsi="Times New Roman" w:cs="Times New Roman"/>
                <w:color w:val="000000" w:themeColor="text1"/>
                <w:sz w:val="24"/>
                <w:szCs w:val="24"/>
              </w:rPr>
            </w:pPr>
            <w:r>
              <w:rPr>
                <w:rFonts w:cs="Times New Roman"/>
                <w:color w:val="000000" w:themeColor="text1"/>
                <w:sz w:val="24"/>
                <w:szCs w:val="24"/>
              </w:rPr>
            </w:r>
          </w:p>
          <w:p>
            <w:pPr>
              <w:pStyle w:val="Contedodatabela"/>
              <w:widowControl w:val="false"/>
              <w:jc w:val="center"/>
              <w:rPr>
                <w:rFonts w:ascii="Times New Roman" w:hAnsi="Times New Roman" w:cs="Times New Roman"/>
                <w:color w:val="000000" w:themeColor="text1"/>
                <w:sz w:val="24"/>
                <w:szCs w:val="24"/>
              </w:rPr>
            </w:pPr>
            <w:r>
              <w:rPr>
                <w:rFonts w:cs="Times New Roman"/>
                <w:color w:val="000000" w:themeColor="text1"/>
                <w:sz w:val="24"/>
                <w:szCs w:val="24"/>
              </w:rPr>
            </w:r>
          </w:p>
          <w:p>
            <w:pPr>
              <w:pStyle w:val="Contedodatabela"/>
              <w:widowControl w:val="false"/>
              <w:jc w:val="center"/>
              <w:rPr>
                <w:rFonts w:ascii="Times New Roman" w:hAnsi="Times New Roman" w:cs="Times New Roman"/>
                <w:color w:val="000000" w:themeColor="text1"/>
                <w:sz w:val="24"/>
                <w:szCs w:val="24"/>
              </w:rPr>
            </w:pPr>
            <w:r>
              <w:rPr>
                <w:rFonts w:eastAsia="Times New Roman" w:cs="Times New Roman"/>
                <w:color w:val="000000" w:themeColor="text1"/>
                <w:sz w:val="24"/>
                <w:szCs w:val="24"/>
              </w:rPr>
              <w:t>100.000</w:t>
            </w:r>
          </w:p>
        </w:tc>
        <w:tc>
          <w:tcPr>
            <w:tcW w:w="1250"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019"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r>
      <w:tr>
        <w:trPr>
          <w:trHeight w:val="174" w:hRule="atLeast"/>
        </w:trPr>
        <w:tc>
          <w:tcPr>
            <w:tcW w:w="739" w:type="dxa"/>
            <w:vMerge w:val="restart"/>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2</w:t>
            </w:r>
          </w:p>
        </w:tc>
        <w:tc>
          <w:tcPr>
            <w:tcW w:w="57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3</w:t>
            </w:r>
          </w:p>
        </w:tc>
        <w:tc>
          <w:tcPr>
            <w:tcW w:w="5621" w:type="dxa"/>
            <w:tcBorders>
              <w:left w:val="single" w:sz="2" w:space="0" w:color="000000"/>
              <w:bottom w:val="single" w:sz="2" w:space="0" w:color="000000"/>
            </w:tcBorders>
          </w:tcPr>
          <w:p>
            <w:pPr>
              <w:pStyle w:val="Contedodatabela"/>
              <w:widowControl w:val="false"/>
              <w:jc w:val="both"/>
              <w:rPr>
                <w:rFonts w:ascii="Times New Roman" w:hAnsi="Times New Roman" w:cs="Times New Roman"/>
                <w:color w:val="000000" w:themeColor="text1"/>
                <w:sz w:val="24"/>
                <w:szCs w:val="24"/>
              </w:rPr>
            </w:pPr>
            <w:r>
              <w:rPr>
                <w:rFonts w:eastAsia="Times New Roman" w:cs="Times New Roman"/>
                <w:color w:val="000000" w:themeColor="text1"/>
                <w:sz w:val="24"/>
                <w:szCs w:val="24"/>
              </w:rPr>
              <w:t>SERVIÇO DE AGENCIAMENTO DE VIAGENS RODOVIÁRIAS ASSESSORIA, COTAÇÃO, RESERVA E EMISSÃO DE BILHETES DE PASSAGENS, ALTERAÇÃO, CANCELAMENTO E REEMBOLSO.</w:t>
            </w:r>
          </w:p>
        </w:tc>
        <w:tc>
          <w:tcPr>
            <w:tcW w:w="909"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Sv</w:t>
            </w:r>
          </w:p>
        </w:tc>
        <w:tc>
          <w:tcPr>
            <w:tcW w:w="1171" w:type="dxa"/>
            <w:tcBorders>
              <w:left w:val="single" w:sz="2" w:space="0" w:color="000000"/>
              <w:bottom w:val="single" w:sz="2" w:space="0" w:color="000000"/>
            </w:tcBorders>
          </w:tcPr>
          <w:p>
            <w:pPr>
              <w:pStyle w:val="Contedodatabela"/>
              <w:widowControl w:val="false"/>
              <w:jc w:val="center"/>
              <w:rPr>
                <w:rFonts w:ascii="Times New Roman" w:hAnsi="Times New Roman" w:cs="Times New Roman"/>
                <w:color w:val="000000" w:themeColor="text1"/>
                <w:sz w:val="24"/>
                <w:szCs w:val="24"/>
              </w:rPr>
            </w:pPr>
            <w:r>
              <w:rPr>
                <w:rFonts w:cs="Times New Roman"/>
                <w:color w:val="000000" w:themeColor="text1"/>
                <w:sz w:val="24"/>
                <w:szCs w:val="24"/>
              </w:rPr>
            </w:r>
          </w:p>
          <w:p>
            <w:pPr>
              <w:pStyle w:val="Contedodatabela"/>
              <w:widowControl w:val="false"/>
              <w:jc w:val="center"/>
              <w:rPr>
                <w:rFonts w:ascii="Times New Roman" w:hAnsi="Times New Roman" w:cs="Times New Roman"/>
                <w:color w:val="000000" w:themeColor="text1"/>
                <w:sz w:val="24"/>
                <w:szCs w:val="24"/>
              </w:rPr>
            </w:pPr>
            <w:r>
              <w:rPr>
                <w:rFonts w:cs="Times New Roman"/>
                <w:color w:val="000000" w:themeColor="text1"/>
                <w:sz w:val="24"/>
                <w:szCs w:val="24"/>
              </w:rPr>
            </w:r>
          </w:p>
          <w:p>
            <w:pPr>
              <w:pStyle w:val="Contedodatabela"/>
              <w:widowControl w:val="false"/>
              <w:jc w:val="center"/>
              <w:rPr>
                <w:rFonts w:ascii="Times New Roman" w:hAnsi="Times New Roman" w:cs="Times New Roman"/>
                <w:color w:val="000000" w:themeColor="text1"/>
                <w:sz w:val="24"/>
                <w:szCs w:val="24"/>
              </w:rPr>
            </w:pPr>
            <w:r>
              <w:rPr>
                <w:rFonts w:cs="Times New Roman"/>
                <w:color w:val="000000" w:themeColor="text1"/>
                <w:sz w:val="24"/>
                <w:szCs w:val="24"/>
              </w:rPr>
            </w:r>
          </w:p>
          <w:p>
            <w:pPr>
              <w:pStyle w:val="Contedodatabela"/>
              <w:widowControl w:val="false"/>
              <w:jc w:val="center"/>
              <w:rPr>
                <w:rFonts w:ascii="Times New Roman" w:hAnsi="Times New Roman" w:cs="Times New Roman"/>
                <w:color w:val="000000" w:themeColor="text1"/>
                <w:sz w:val="24"/>
                <w:szCs w:val="24"/>
              </w:rPr>
            </w:pPr>
            <w:r>
              <w:rPr>
                <w:rFonts w:eastAsia="Times New Roman" w:cs="Times New Roman"/>
                <w:color w:val="000000" w:themeColor="text1"/>
                <w:sz w:val="24"/>
                <w:szCs w:val="24"/>
              </w:rPr>
              <w:t>50</w:t>
            </w:r>
          </w:p>
          <w:p>
            <w:pPr>
              <w:pStyle w:val="Contedodatabela"/>
              <w:widowControl w:val="false"/>
              <w:jc w:val="center"/>
              <w:rPr>
                <w:rFonts w:ascii="Times New Roman" w:hAnsi="Times New Roman" w:cs="Times New Roman"/>
                <w:color w:val="000000" w:themeColor="text1"/>
                <w:sz w:val="24"/>
                <w:szCs w:val="24"/>
              </w:rPr>
            </w:pPr>
            <w:r>
              <w:rPr>
                <w:rFonts w:cs="Times New Roman"/>
                <w:color w:val="000000" w:themeColor="text1"/>
                <w:sz w:val="24"/>
                <w:szCs w:val="24"/>
              </w:rPr>
            </w:r>
          </w:p>
        </w:tc>
        <w:tc>
          <w:tcPr>
            <w:tcW w:w="1250"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019"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r>
      <w:tr>
        <w:trPr>
          <w:trHeight w:val="174" w:hRule="atLeast"/>
        </w:trPr>
        <w:tc>
          <w:tcPr>
            <w:tcW w:w="739" w:type="dxa"/>
            <w:vMerge w:val="continue"/>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tc>
        <w:tc>
          <w:tcPr>
            <w:tcW w:w="57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4</w:t>
            </w:r>
          </w:p>
        </w:tc>
        <w:tc>
          <w:tcPr>
            <w:tcW w:w="5621" w:type="dxa"/>
            <w:tcBorders>
              <w:left w:val="single" w:sz="2" w:space="0" w:color="000000"/>
              <w:bottom w:val="single" w:sz="2" w:space="0" w:color="000000"/>
            </w:tcBorders>
          </w:tcPr>
          <w:p>
            <w:pPr>
              <w:pStyle w:val="Contedodatabela"/>
              <w:widowControl w:val="false"/>
              <w:jc w:val="both"/>
              <w:rPr>
                <w:rFonts w:ascii="Times New Roman" w:hAnsi="Times New Roman" w:cs="Times New Roman"/>
                <w:color w:val="000000" w:themeColor="text1"/>
                <w:sz w:val="24"/>
                <w:szCs w:val="24"/>
              </w:rPr>
            </w:pPr>
            <w:r>
              <w:rPr>
                <w:rFonts w:eastAsia="Times New Roman" w:cs="Times New Roman"/>
                <w:color w:val="000000" w:themeColor="text1"/>
                <w:sz w:val="24"/>
                <w:szCs w:val="24"/>
              </w:rPr>
              <w:t>FORNECIMENTO DE PASSAGEM RODOVIÁRIA INTERMUNICIPAL E INTERESTADUAL, INCLUSIVE TAXA DE EMBARQUE E OUTRAS TAXAS E MULTAS DEVIDAS ÀS EMPRESAS RODOVIÁRIA EM RAZÃO DA EMISSÃO, ALTERAÇÃO, CANCELAMENTO E REEMBOLSO DE BILHETES DE PASSAGEM INTERMUNICIPAL E/OU INTERESTADUAL ADQUIRIDOS.</w:t>
            </w:r>
          </w:p>
        </w:tc>
        <w:tc>
          <w:tcPr>
            <w:tcW w:w="909"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Sv</w:t>
            </w:r>
          </w:p>
        </w:tc>
        <w:tc>
          <w:tcPr>
            <w:tcW w:w="1171" w:type="dxa"/>
            <w:tcBorders>
              <w:left w:val="single" w:sz="2" w:space="0" w:color="000000"/>
              <w:bottom w:val="single" w:sz="2" w:space="0" w:color="000000"/>
            </w:tcBorders>
          </w:tcPr>
          <w:p>
            <w:pPr>
              <w:pStyle w:val="Contedodatabela"/>
              <w:widowControl w:val="false"/>
              <w:jc w:val="center"/>
              <w:rPr>
                <w:rFonts w:ascii="Times New Roman" w:hAnsi="Times New Roman" w:cs="Times New Roman"/>
                <w:color w:val="000000" w:themeColor="text1"/>
                <w:sz w:val="24"/>
                <w:szCs w:val="24"/>
              </w:rPr>
            </w:pPr>
            <w:r>
              <w:rPr>
                <w:rFonts w:cs="Times New Roman"/>
                <w:color w:val="000000" w:themeColor="text1"/>
                <w:sz w:val="24"/>
                <w:szCs w:val="24"/>
              </w:rPr>
            </w:r>
          </w:p>
          <w:p>
            <w:pPr>
              <w:pStyle w:val="Contedodatabela"/>
              <w:widowControl w:val="false"/>
              <w:jc w:val="center"/>
              <w:rPr>
                <w:rFonts w:ascii="Times New Roman" w:hAnsi="Times New Roman" w:cs="Times New Roman"/>
                <w:color w:val="000000" w:themeColor="text1"/>
                <w:sz w:val="24"/>
                <w:szCs w:val="24"/>
              </w:rPr>
            </w:pPr>
            <w:r>
              <w:rPr>
                <w:rFonts w:cs="Times New Roman"/>
                <w:color w:val="000000" w:themeColor="text1"/>
                <w:sz w:val="24"/>
                <w:szCs w:val="24"/>
              </w:rPr>
            </w:r>
          </w:p>
          <w:p>
            <w:pPr>
              <w:pStyle w:val="Contedodatabela"/>
              <w:widowControl w:val="false"/>
              <w:jc w:val="center"/>
              <w:rPr>
                <w:rFonts w:ascii="Times New Roman" w:hAnsi="Times New Roman" w:cs="Times New Roman"/>
                <w:color w:val="000000" w:themeColor="text1"/>
                <w:sz w:val="24"/>
                <w:szCs w:val="24"/>
              </w:rPr>
            </w:pPr>
            <w:r>
              <w:rPr>
                <w:rFonts w:cs="Times New Roman"/>
                <w:color w:val="000000" w:themeColor="text1"/>
                <w:sz w:val="24"/>
                <w:szCs w:val="24"/>
              </w:rPr>
            </w:r>
          </w:p>
          <w:p>
            <w:pPr>
              <w:pStyle w:val="Contedodatabela"/>
              <w:widowControl w:val="false"/>
              <w:jc w:val="center"/>
              <w:rPr>
                <w:rFonts w:ascii="Times New Roman" w:hAnsi="Times New Roman" w:cs="Times New Roman"/>
                <w:color w:val="000000" w:themeColor="text1"/>
                <w:sz w:val="24"/>
                <w:szCs w:val="24"/>
              </w:rPr>
            </w:pPr>
            <w:r>
              <w:rPr>
                <w:rFonts w:cs="Times New Roman"/>
                <w:color w:val="000000" w:themeColor="text1"/>
                <w:sz w:val="24"/>
                <w:szCs w:val="24"/>
              </w:rPr>
            </w:r>
          </w:p>
          <w:p>
            <w:pPr>
              <w:pStyle w:val="Contedodatabela"/>
              <w:widowControl w:val="false"/>
              <w:jc w:val="center"/>
              <w:rPr>
                <w:rFonts w:ascii="Times New Roman" w:hAnsi="Times New Roman" w:cs="Times New Roman"/>
                <w:color w:val="000000" w:themeColor="text1"/>
                <w:sz w:val="24"/>
                <w:szCs w:val="24"/>
              </w:rPr>
            </w:pPr>
            <w:r>
              <w:rPr>
                <w:rFonts w:eastAsia="Times New Roman" w:cs="Times New Roman"/>
                <w:color w:val="000000" w:themeColor="text1"/>
                <w:sz w:val="24"/>
                <w:szCs w:val="24"/>
              </w:rPr>
              <w:t>15.000</w:t>
            </w:r>
          </w:p>
        </w:tc>
        <w:tc>
          <w:tcPr>
            <w:tcW w:w="1250"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019"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r>
    </w:tbl>
    <w:p>
      <w:pPr>
        <w:pStyle w:val="Nivel2"/>
        <w:numPr>
          <w:ilvl w:val="1"/>
          <w:numId w:val="140"/>
        </w:numPr>
        <w:ind w:left="0" w:hanging="0"/>
        <w:rPr/>
      </w:pPr>
      <w:r>
        <w:rPr/>
        <w:t>Vinculam esta contratação, independentemente de transcrição:</w:t>
      </w:r>
    </w:p>
    <w:p>
      <w:pPr>
        <w:pStyle w:val="Nivel3"/>
        <w:numPr>
          <w:ilvl w:val="2"/>
          <w:numId w:val="141"/>
        </w:numPr>
        <w:ind w:left="284" w:hanging="0"/>
        <w:rPr/>
      </w:pPr>
      <w:r>
        <w:rPr/>
        <w:t>O Termo de Referência;</w:t>
      </w:r>
    </w:p>
    <w:p>
      <w:pPr>
        <w:pStyle w:val="Nivel3"/>
        <w:numPr>
          <w:ilvl w:val="2"/>
          <w:numId w:val="142"/>
        </w:numPr>
        <w:ind w:left="284" w:hanging="0"/>
        <w:rPr/>
      </w:pPr>
      <w:r>
        <w:rPr/>
        <w:t>O Edital da Licitação;</w:t>
      </w:r>
    </w:p>
    <w:p>
      <w:pPr>
        <w:pStyle w:val="Nivel3"/>
        <w:numPr>
          <w:ilvl w:val="2"/>
          <w:numId w:val="143"/>
        </w:numPr>
        <w:ind w:left="284" w:hanging="0"/>
        <w:rPr/>
      </w:pPr>
      <w:r>
        <w:rPr/>
        <w:t>A Proposta do contratado;</w:t>
      </w:r>
    </w:p>
    <w:p>
      <w:pPr>
        <w:pStyle w:val="Nivel3"/>
        <w:numPr>
          <w:ilvl w:val="2"/>
          <w:numId w:val="144"/>
        </w:numPr>
        <w:ind w:left="284" w:hanging="0"/>
        <w:rPr/>
      </w:pPr>
      <w:r>
        <w:rPr/>
        <w:t>Eventuais anexos dos documentos supracitados.</w:t>
      </w:r>
    </w:p>
    <w:p>
      <w:pPr>
        <w:pStyle w:val="Nivel01"/>
        <w:numPr>
          <w:ilvl w:val="0"/>
          <w:numId w:val="145"/>
        </w:numPr>
        <w:ind w:left="0" w:hanging="0"/>
        <w:rPr>
          <w:color w:val="FFFFFF" w:themeColor="background1"/>
        </w:rPr>
      </w:pPr>
      <w:r>
        <w:rPr/>
        <w:t>CLÁUSULA SEGUNDA – VIGÊNCIA E PRORROGAÇÃO</w:t>
      </w:r>
    </w:p>
    <w:p>
      <w:pPr>
        <w:pStyle w:val="Nvel2-Red"/>
        <w:numPr>
          <w:ilvl w:val="1"/>
          <w:numId w:val="146"/>
        </w:numPr>
        <w:ind w:left="0" w:hanging="0"/>
        <w:rPr>
          <w:color w:val="000000"/>
        </w:rPr>
      </w:pPr>
      <w:r>
        <w:rPr>
          <w:color w:val="000000"/>
        </w:rPr>
        <w:t>O prazo de vigência da contratação é de 12 meses contados da assinatura do processo, na forma do artigo 105 da Lei n° 14.133, de 2021.</w:t>
      </w:r>
    </w:p>
    <w:p>
      <w:pPr>
        <w:pStyle w:val="Nvel2-Red"/>
        <w:numPr>
          <w:ilvl w:val="1"/>
          <w:numId w:val="147"/>
        </w:numPr>
        <w:ind w:left="0" w:hanging="0"/>
        <w:rPr/>
      </w:pPr>
      <w:r>
        <w:rPr>
          <w:color w:val="000000"/>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01"/>
        <w:numPr>
          <w:ilvl w:val="0"/>
          <w:numId w:val="148"/>
        </w:numPr>
        <w:ind w:left="0" w:hanging="0"/>
        <w:rPr>
          <w:color w:val="FFFFFF" w:themeColor="background1"/>
        </w:rPr>
      </w:pPr>
      <w:bookmarkStart w:id="0" w:name="_Hlk114497577"/>
      <w:bookmarkStart w:id="1" w:name="_Hlk114497502"/>
      <w:bookmarkEnd w:id="0"/>
      <w:bookmarkEnd w:id="1"/>
      <w:r>
        <w:rPr/>
        <w:t>CLÁUSULA TERCEIRA – MODELOS DE EXECUÇÃO E GESTÃO CONTRATUAIS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IV, VII e XVIII)</w:t>
      </w:r>
      <w:r>
        <w:rPr>
          <w:rStyle w:val="LinkdaInternet"/>
        </w:rPr>
        <w:fldChar w:fldCharType="end"/>
      </w:r>
    </w:p>
    <w:p>
      <w:pPr>
        <w:pStyle w:val="Nivel2"/>
        <w:numPr>
          <w:ilvl w:val="1"/>
          <w:numId w:val="149"/>
        </w:numPr>
        <w:ind w:left="0" w:hanging="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50"/>
        </w:numPr>
        <w:ind w:left="0" w:hanging="0"/>
        <w:rPr>
          <w:color w:val="FFFFFF" w:themeColor="background1"/>
        </w:rPr>
      </w:pPr>
      <w:r>
        <w:rPr/>
        <w:t>CLÁUSULA QUARTA – SUBCONTRATAÇÃO</w:t>
      </w:r>
    </w:p>
    <w:p>
      <w:pPr>
        <w:pStyle w:val="Nvel2-Red"/>
        <w:numPr>
          <w:ilvl w:val="1"/>
          <w:numId w:val="151"/>
        </w:numPr>
        <w:ind w:left="0" w:hanging="0"/>
        <w:rPr>
          <w:color w:val="000000"/>
        </w:rPr>
      </w:pPr>
      <w:r>
        <w:rPr>
          <w:color w:val="000000"/>
        </w:rPr>
        <w:t>Não será admitida a subcontratação do objeto contratual.</w:t>
      </w:r>
    </w:p>
    <w:p>
      <w:pPr>
        <w:pStyle w:val="Nivel01"/>
        <w:numPr>
          <w:ilvl w:val="0"/>
          <w:numId w:val="152"/>
        </w:numPr>
        <w:ind w:left="0" w:hanging="0"/>
        <w:rPr>
          <w:color w:val="FFFFFF" w:themeColor="background1"/>
        </w:rPr>
      </w:pPr>
      <w:r>
        <w:rPr/>
        <w:t>CLÁUSULA QUINTA – PREÇO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r>
        <w:rPr/>
        <w:t>)</w:t>
      </w:r>
    </w:p>
    <w:p>
      <w:pPr>
        <w:pStyle w:val="Nvel2-Red"/>
        <w:numPr>
          <w:ilvl w:val="1"/>
          <w:numId w:val="153"/>
        </w:numPr>
        <w:ind w:left="0" w:hanging="0"/>
        <w:rPr>
          <w:color w:val="000000"/>
        </w:rPr>
      </w:pPr>
      <w:r>
        <w:rPr>
          <w:color w:val="000000"/>
          <w:lang w:eastAsia="en-US"/>
        </w:rPr>
        <w:t xml:space="preserve">O valor mensal da </w:t>
      </w:r>
      <w:r>
        <w:rPr>
          <w:color w:val="000000"/>
        </w:rPr>
        <w:t>contratação</w:t>
      </w:r>
      <w:r>
        <w:rPr>
          <w:color w:val="000000"/>
          <w:lang w:eastAsia="en-US"/>
        </w:rPr>
        <w:t xml:space="preserve"> é de R$ .......... (.....), perfazendo o valor total de R$ ....... (....).</w:t>
      </w:r>
    </w:p>
    <w:p>
      <w:pPr>
        <w:pStyle w:val="Nivel2"/>
        <w:numPr>
          <w:ilvl w:val="1"/>
          <w:numId w:val="154"/>
        </w:numPr>
        <w:ind w:left="0" w:hanging="0"/>
        <w:rPr/>
      </w:pPr>
      <w:r>
        <w:rPr>
          <w:color w:val="000000"/>
        </w:rPr>
        <w:t xml:space="preserve">No valor acima estão incluídas todas as despesas ordinárias diretas e indiretas decorrentes </w:t>
      </w:r>
      <w:r>
        <w:rPr/>
        <w:t>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55"/>
        </w:numPr>
        <w:ind w:left="0" w:hanging="0"/>
        <w:rPr>
          <w:color w:val="000000"/>
        </w:rPr>
      </w:pPr>
      <w:r>
        <w:rPr>
          <w:color w:val="000000"/>
        </w:rPr>
        <w:t>O valor acima é meramente estimativo, de forma que os pagamentos devidos ao contratado dependerão dos quantitativos efetivamente fornecidos.</w:t>
      </w:r>
    </w:p>
    <w:p>
      <w:pPr>
        <w:pStyle w:val="Nivel01"/>
        <w:numPr>
          <w:ilvl w:val="0"/>
          <w:numId w:val="156"/>
        </w:numPr>
        <w:ind w:left="0" w:hanging="0"/>
        <w:rPr>
          <w:color w:val="FFFFFF" w:themeColor="background1"/>
        </w:rPr>
      </w:pPr>
      <w:r>
        <w:rPr/>
        <w:t>CLÁUSULA SEXTA - PAGAMENTO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 e VI</w:t>
      </w:r>
      <w:r>
        <w:rPr>
          <w:rStyle w:val="LinkdaInternet"/>
        </w:rPr>
        <w:fldChar w:fldCharType="end"/>
      </w:r>
      <w:r>
        <w:rPr/>
        <w:t>)</w:t>
      </w:r>
    </w:p>
    <w:p>
      <w:pPr>
        <w:pStyle w:val="Nivel2"/>
        <w:numPr>
          <w:ilvl w:val="1"/>
          <w:numId w:val="157"/>
        </w:numPr>
        <w:ind w:left="0" w:hanging="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158"/>
        </w:numPr>
        <w:ind w:left="0" w:hanging="0"/>
        <w:rPr>
          <w:color w:val="FFFFFF" w:themeColor="background1"/>
        </w:rPr>
      </w:pPr>
      <w:r>
        <w:rPr/>
        <w:t>CLÁUSULA SÉTIMA - REAJUSTE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r>
        <w:rPr/>
        <w:t>)</w:t>
      </w:r>
    </w:p>
    <w:p>
      <w:pPr>
        <w:pStyle w:val="Nivel2"/>
        <w:numPr>
          <w:ilvl w:val="1"/>
          <w:numId w:val="159"/>
        </w:numPr>
        <w:ind w:left="0" w:hanging="0"/>
        <w:rPr/>
      </w:pPr>
      <w:r>
        <w:rPr/>
        <w:t xml:space="preserve">Os preços inicialmente contratados são fixos e irreajustáveis no prazo de um ano contado da data do orçamento estimado, em </w:t>
      </w:r>
      <w:r>
        <w:rPr>
          <w:i/>
          <w:iCs/>
          <w:color w:val="FF0000"/>
        </w:rPr>
        <w:t>__/__/__ (DD/MM/AAAA)</w:t>
      </w:r>
      <w:r>
        <w:rPr/>
        <w:t>.</w:t>
      </w:r>
    </w:p>
    <w:p>
      <w:pPr>
        <w:pStyle w:val="Nivel2"/>
        <w:numPr>
          <w:ilvl w:val="1"/>
          <w:numId w:val="160"/>
        </w:numPr>
        <w:ind w:left="0" w:hanging="0"/>
        <w:rPr/>
      </w:pPr>
      <w:r>
        <w:rPr/>
        <w:t xml:space="preserve">Após o interregno de um ano, e </w:t>
      </w:r>
      <w:bookmarkStart w:id="2" w:name="_Hlk132722410"/>
      <w:r>
        <w:rPr/>
        <w:t>independentemente de pedido do contratado</w:t>
      </w:r>
      <w:bookmarkEnd w:id="2"/>
      <w:r>
        <w:rPr/>
        <w:t>, os preços iniciais serão reajustados, mediante a aplicação, pelo contratante, do índice do IPCA (Índice de preços no consumidor)</w:t>
      </w:r>
      <w:r>
        <w:rPr>
          <w:i/>
          <w:iCs/>
        </w:rPr>
        <w:t>,</w:t>
      </w:r>
      <w:r>
        <w:rPr/>
        <w:t xml:space="preserve"> exclusivamente para as obrigações iniciadas e concluídas após a ocorrência da anualidade.</w:t>
      </w:r>
    </w:p>
    <w:p>
      <w:pPr>
        <w:pStyle w:val="Nivel2"/>
        <w:numPr>
          <w:ilvl w:val="1"/>
          <w:numId w:val="161"/>
        </w:numPr>
        <w:ind w:left="0" w:hanging="0"/>
        <w:rPr/>
      </w:pPr>
      <w:r>
        <w:rPr/>
        <w:t>Nos reajustes subsequentes ao primeiro, o interregno mínimo de um ano será contado a partir dos efeitos financeiros do último reajuste.</w:t>
      </w:r>
    </w:p>
    <w:p>
      <w:pPr>
        <w:pStyle w:val="Nivel2"/>
        <w:numPr>
          <w:ilvl w:val="1"/>
          <w:numId w:val="162"/>
        </w:numPr>
        <w:ind w:left="0" w:hanging="0"/>
        <w:rPr/>
      </w:pPr>
      <w:r>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163"/>
        </w:numPr>
        <w:ind w:left="0" w:hanging="0"/>
        <w:rPr/>
      </w:pPr>
      <w:r>
        <w:rPr/>
        <w:t>Nas aferições finais, o(s) índice(s) utilizado(s) para reajuste será(ão), obrigatoriamente, o(s) definitivo(s).</w:t>
      </w:r>
    </w:p>
    <w:p>
      <w:pPr>
        <w:pStyle w:val="Nivel2"/>
        <w:numPr>
          <w:ilvl w:val="1"/>
          <w:numId w:val="164"/>
        </w:numPr>
        <w:ind w:left="0" w:hanging="0"/>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65"/>
        </w:numPr>
        <w:ind w:left="0" w:hanging="0"/>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166"/>
        </w:numPr>
        <w:ind w:left="0" w:hanging="0"/>
        <w:rPr/>
      </w:pPr>
      <w:r>
        <w:rPr/>
        <w:t>O reajuste será realizado por apostilamento.</w:t>
      </w:r>
    </w:p>
    <w:p>
      <w:pPr>
        <w:pStyle w:val="Nivel01"/>
        <w:numPr>
          <w:ilvl w:val="0"/>
          <w:numId w:val="167"/>
        </w:numPr>
        <w:ind w:left="0" w:hanging="0"/>
        <w:rPr>
          <w:color w:val="FFFFFF" w:themeColor="background1"/>
        </w:rPr>
      </w:pPr>
      <w:r>
        <w:rPr/>
        <w:t xml:space="preserve">CLÁUSULA OITAVA - OBRIGAÇÕES DO CONTRATANTE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 XI e XIV</w:t>
      </w:r>
      <w:r>
        <w:rPr>
          <w:rStyle w:val="LinkdaInternet"/>
        </w:rPr>
        <w:fldChar w:fldCharType="end"/>
      </w:r>
      <w:r>
        <w:rPr/>
        <w:t>)</w:t>
      </w:r>
    </w:p>
    <w:p>
      <w:pPr>
        <w:pStyle w:val="Nivel2"/>
        <w:numPr>
          <w:ilvl w:val="1"/>
          <w:numId w:val="168"/>
        </w:numPr>
        <w:ind w:left="0" w:hanging="0"/>
        <w:rPr/>
      </w:pPr>
      <w:r>
        <w:rPr/>
        <w:t>São obrigações do Contratante:</w:t>
      </w:r>
    </w:p>
    <w:p>
      <w:pPr>
        <w:pStyle w:val="Nivel2"/>
        <w:numPr>
          <w:ilvl w:val="1"/>
          <w:numId w:val="169"/>
        </w:numPr>
        <w:ind w:left="0" w:hanging="0"/>
        <w:rPr/>
      </w:pPr>
      <w:r>
        <w:rPr/>
        <w:t>Exigir o cumprimento de todas as obrigações assumidas pelo Contratado, de acordo com o contrato e seus anexos;</w:t>
      </w:r>
    </w:p>
    <w:p>
      <w:pPr>
        <w:pStyle w:val="Nivel2"/>
        <w:numPr>
          <w:ilvl w:val="1"/>
          <w:numId w:val="170"/>
        </w:numPr>
        <w:ind w:left="0" w:hanging="0"/>
        <w:rPr/>
      </w:pPr>
      <w:r>
        <w:rPr/>
        <w:t>Receber o objeto no prazo e condições estabelecidas no Termo de Referência;</w:t>
      </w:r>
    </w:p>
    <w:p>
      <w:pPr>
        <w:pStyle w:val="Nivel2"/>
        <w:numPr>
          <w:ilvl w:val="1"/>
          <w:numId w:val="171"/>
        </w:numPr>
        <w:ind w:left="0" w:hanging="0"/>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172"/>
        </w:numPr>
        <w:ind w:left="0" w:hanging="0"/>
        <w:rPr/>
      </w:pPr>
      <w:r>
        <w:rPr/>
        <w:t>Acompanhar e fiscalizar a execução do contrato e o cumprimento das obrigações pelo Contratado;</w:t>
      </w:r>
    </w:p>
    <w:p>
      <w:pPr>
        <w:pStyle w:val="Nivel2"/>
        <w:numPr>
          <w:ilvl w:val="1"/>
          <w:numId w:val="173"/>
        </w:numPr>
        <w:ind w:left="0" w:hanging="0"/>
        <w:rPr/>
      </w:pPr>
      <w:r>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pPr>
        <w:pStyle w:val="Nivel2"/>
        <w:numPr>
          <w:ilvl w:val="1"/>
          <w:numId w:val="174"/>
        </w:numPr>
        <w:ind w:left="0" w:hanging="0"/>
        <w:rPr/>
      </w:pPr>
      <w:r>
        <w:rPr/>
        <w:t>Efetuar o pagamento ao Contratado do valor correspondente à execução do objeto, no prazo, forma e condições estabelecidos no presente Contrato e no Termo de Referência;</w:t>
      </w:r>
    </w:p>
    <w:p>
      <w:pPr>
        <w:pStyle w:val="Nivel2"/>
        <w:numPr>
          <w:ilvl w:val="1"/>
          <w:numId w:val="175"/>
        </w:numPr>
        <w:ind w:left="0" w:hanging="0"/>
        <w:rPr/>
      </w:pPr>
      <w:r>
        <w:rPr/>
        <w:t xml:space="preserve">Aplicar ao Contratado as sanções previstas na lei e neste Contrato; </w:t>
      </w:r>
    </w:p>
    <w:p>
      <w:pPr>
        <w:pStyle w:val="Nivel2"/>
        <w:numPr>
          <w:ilvl w:val="1"/>
          <w:numId w:val="176"/>
        </w:numPr>
        <w:ind w:left="0" w:hanging="0"/>
        <w:rPr/>
      </w:pPr>
      <w:r>
        <w:rPr/>
        <w:t>Cientificar o órgão de representação judicial da Advocacia-Geral da União para adoção das medidas cabíveis quando do descumprimento de obrigações pelo Contratado;</w:t>
      </w:r>
    </w:p>
    <w:p>
      <w:pPr>
        <w:pStyle w:val="Nivel2"/>
        <w:numPr>
          <w:ilvl w:val="1"/>
          <w:numId w:val="177"/>
        </w:numPr>
        <w:ind w:left="0" w:hanging="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178"/>
        </w:numPr>
        <w:ind w:left="284" w:hanging="0"/>
        <w:rPr>
          <w:b/>
          <w:bCs/>
        </w:rPr>
      </w:pPr>
      <w:r>
        <w:rPr/>
        <w:t xml:space="preserve"> </w:t>
      </w:r>
      <w:r>
        <w:rPr/>
        <w:t>A Administração terá o prazo de</w:t>
      </w:r>
      <w:r>
        <w:rPr>
          <w:i/>
          <w:iCs/>
          <w:color w:val="FF0000"/>
        </w:rPr>
        <w:t xml:space="preserve"> </w:t>
      </w:r>
      <w:r>
        <w:rPr>
          <w:i/>
          <w:iCs/>
          <w:color w:val="000000"/>
        </w:rPr>
        <w:t>30 (trinta) dias</w:t>
      </w:r>
      <w:r>
        <w:rPr/>
        <w:t xml:space="preserve">, a contar da data do protocolo do requerimento para decidir, admitida a prorrogação motivada, por igual período. </w:t>
      </w:r>
    </w:p>
    <w:p>
      <w:pPr>
        <w:pStyle w:val="Nivel2"/>
        <w:numPr>
          <w:ilvl w:val="1"/>
          <w:numId w:val="179"/>
        </w:numPr>
        <w:ind w:left="0" w:hanging="0"/>
        <w:rPr>
          <w:color w:val="FF0000"/>
        </w:rPr>
      </w:pPr>
      <w:r>
        <w:rPr/>
        <w:t>Responder eventuais pedidos de reestabelecimento do equilíbrio econômico-financeiro feitos pelo contratado no prazo máximo de 30 (trinta) dias</w:t>
      </w:r>
      <w:r>
        <w:rPr>
          <w:color w:val="FF0000"/>
        </w:rPr>
        <w:t>.</w:t>
      </w:r>
    </w:p>
    <w:p>
      <w:pPr>
        <w:pStyle w:val="Nvel2-Red"/>
        <w:numPr>
          <w:ilvl w:val="1"/>
          <w:numId w:val="180"/>
        </w:numPr>
        <w:ind w:left="0" w:hanging="0"/>
        <w:rPr>
          <w:color w:val="000000"/>
        </w:rPr>
      </w:pPr>
      <w:bookmarkStart w:id="3" w:name="_Hlk114499841"/>
      <w:bookmarkEnd w:id="3"/>
      <w:r>
        <w:rPr>
          <w:color w:val="000000"/>
        </w:rPr>
        <w:t>Notificar os emitentes das garantias quanto ao início de processo administrativo para apuração de descumprimento de cláusulas contratuais.</w:t>
      </w:r>
    </w:p>
    <w:p>
      <w:pPr>
        <w:pStyle w:val="Nivel2"/>
        <w:numPr>
          <w:ilvl w:val="1"/>
          <w:numId w:val="181"/>
        </w:numPr>
        <w:ind w:left="0" w:hanging="0"/>
        <w:rPr/>
      </w:pPr>
      <w:r>
        <w:rPr/>
        <w:t xml:space="preserve">Comunicar o Contratado na hipótese de posterior alteração do projeto pelo Contratante, no caso </w:t>
      </w:r>
      <w:r>
        <w:fldChar w:fldCharType="begin"/>
      </w:r>
      <w:r>
        <w:rPr>
          <w:rStyle w:val="LinkdaInternet"/>
        </w:rPr>
        <w:instrText xml:space="preserve"> HYPERLINK "http://www.planalto.gov.br/ccivil_03/_ato2019-2022/2021/lei/L14133.htm" \l "art93§2"</w:instrText>
      </w:r>
      <w:r>
        <w:rPr>
          <w:rStyle w:val="LinkdaInternet"/>
        </w:rPr>
        <w:fldChar w:fldCharType="separate"/>
      </w:r>
      <w:r>
        <w:rPr>
          <w:rStyle w:val="LinkdaInternet"/>
        </w:rPr>
        <w:t>do art. 93, §2º, da Lei nº 14.133, de 2021</w:t>
      </w:r>
      <w:r>
        <w:rPr>
          <w:rStyle w:val="LinkdaInternet"/>
        </w:rPr>
        <w:fldChar w:fldCharType="end"/>
      </w:r>
      <w:r>
        <w:rPr/>
        <w:t>.</w:t>
      </w:r>
    </w:p>
    <w:p>
      <w:pPr>
        <w:pStyle w:val="Nivel2"/>
        <w:numPr>
          <w:ilvl w:val="1"/>
          <w:numId w:val="182"/>
        </w:numPr>
        <w:ind w:left="0" w:hanging="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83"/>
        </w:numPr>
        <w:ind w:left="0" w:hanging="0"/>
        <w:rPr>
          <w:color w:val="FFFFFF" w:themeColor="background1"/>
        </w:rPr>
      </w:pPr>
      <w:r>
        <w:rPr/>
        <w:t>CLÁUSULA NONA - OBRIGAÇÕES DO CONTRATADO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XIV, XVI e XVII</w:t>
      </w:r>
      <w:r>
        <w:rPr>
          <w:rStyle w:val="LinkdaInternet"/>
        </w:rPr>
        <w:fldChar w:fldCharType="end"/>
      </w:r>
      <w:r>
        <w:rPr/>
        <w:t>)</w:t>
      </w:r>
    </w:p>
    <w:p>
      <w:pPr>
        <w:pStyle w:val="Nivel2"/>
        <w:numPr>
          <w:ilvl w:val="1"/>
          <w:numId w:val="184"/>
        </w:numPr>
        <w:ind w:left="0" w:hanging="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85"/>
        </w:numPr>
        <w:ind w:left="0" w:hanging="0"/>
        <w:rPr/>
      </w:pPr>
      <w:r>
        <w:rPr/>
        <w:t>Manter preposto aceito pela Administração no local do serviço para representá-lo na execução do contrato.</w:t>
      </w:r>
    </w:p>
    <w:p>
      <w:pPr>
        <w:pStyle w:val="Nivel2"/>
        <w:numPr>
          <w:ilvl w:val="1"/>
          <w:numId w:val="186"/>
        </w:numPr>
        <w:ind w:left="0" w:hanging="0"/>
        <w:rPr/>
      </w:pPr>
      <w:r>
        <w:rPr/>
        <w:t>A indicação ou a manutenção do preposto da empresa poderá ser recusada pelo órgão ou entidade, desde que devidamente justificada, devendo a empresa designar outro para o exercício da atividade.</w:t>
      </w:r>
    </w:p>
    <w:p>
      <w:pPr>
        <w:pStyle w:val="Nivel2"/>
        <w:numPr>
          <w:ilvl w:val="1"/>
          <w:numId w:val="187"/>
        </w:numPr>
        <w:ind w:left="0" w:hanging="0"/>
        <w:rPr/>
      </w:pPr>
      <w:r>
        <w:rPr/>
        <w:t>Atender às determinações regulares emitidas pelo fiscal do contrato ou autoridade superior (</w:t>
      </w:r>
      <w:r>
        <w:fldChar w:fldCharType="begin"/>
      </w:r>
      <w:r>
        <w:rPr>
          <w:rStyle w:val="LinkdaInternet"/>
        </w:rPr>
        <w:instrText xml:space="preserve"> HYPERLINK "http://www.planalto.gov.br/ccivil_03/_ato2019-2022/2021/lei/L14133.htm" \l "art137"</w:instrText>
      </w:r>
      <w:r>
        <w:rPr>
          <w:rStyle w:val="LinkdaInternet"/>
        </w:rPr>
        <w:fldChar w:fldCharType="separate"/>
      </w:r>
      <w:r>
        <w:rPr>
          <w:rStyle w:val="LinkdaInternet"/>
        </w:rPr>
        <w:t>art. 137, II</w:t>
      </w:r>
      <w:r>
        <w:rPr>
          <w:rStyle w:val="LinkdaInternet"/>
        </w:rPr>
        <w:fldChar w:fldCharType="end"/>
      </w:r>
      <w:r>
        <w:rPr/>
        <w:t xml:space="preserve">) </w:t>
      </w:r>
      <w:r>
        <w:rPr>
          <w:color w:val="000000" w:themeColor="text1"/>
        </w:rPr>
        <w:t xml:space="preserve">e </w:t>
      </w:r>
      <w:r>
        <w:rPr/>
        <w:t>prestar todo esclarecimento ou informação por eles solicitados</w:t>
      </w:r>
      <w:r>
        <w:rPr>
          <w:color w:val="000000" w:themeColor="text1"/>
        </w:rPr>
        <w:t>;</w:t>
      </w:r>
    </w:p>
    <w:p>
      <w:pPr>
        <w:pStyle w:val="Nivel2"/>
        <w:numPr>
          <w:ilvl w:val="1"/>
          <w:numId w:val="188"/>
        </w:numPr>
        <w:ind w:left="0" w:hanging="0"/>
        <w:rPr/>
      </w:pPr>
      <w: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189"/>
        </w:numPr>
        <w:ind w:left="0" w:hanging="0"/>
        <w:rPr/>
      </w:pPr>
      <w:r>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ivel2"/>
        <w:numPr>
          <w:ilvl w:val="1"/>
          <w:numId w:val="190"/>
        </w:numPr>
        <w:ind w:left="0" w:hanging="0"/>
        <w:rPr/>
      </w:pPr>
      <w:r>
        <w:rPr/>
        <w:t xml:space="preserve">Responsabilizar-se pelos vícios e danos decorrentes da execução do objeto, de acordo com o </w:t>
      </w:r>
      <w:hyperlink r:id="rId3">
        <w:r>
          <w:rPr>
            <w:rStyle w:val="LinkdaInternet"/>
          </w:rPr>
          <w:t>Código de Defesa do Consumidor (Lei nº 8.078, de 1990</w:t>
        </w:r>
      </w:hyperlink>
      <w: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191"/>
        </w:numPr>
        <w:ind w:left="0" w:hanging="0"/>
        <w:rPr/>
      </w:pPr>
      <w: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rStyle w:val="LinkdaInternet"/>
        </w:rPr>
        <w:instrText xml:space="preserve"> HYPERLINK "http://www.planalto.gov.br/ccivil_03/_ato2019-2022/2021/lei/L14133.htm" \l "art48"</w:instrText>
      </w:r>
      <w:r>
        <w:rPr>
          <w:rStyle w:val="LinkdaInternet"/>
        </w:rPr>
        <w:fldChar w:fldCharType="separate"/>
      </w:r>
      <w:r>
        <w:rPr>
          <w:rStyle w:val="LinkdaInternet"/>
        </w:rPr>
        <w:t>artigo 48, parágrafo único, da Lei nº 14.133, de 2021</w:t>
      </w:r>
      <w:r>
        <w:rPr>
          <w:rStyle w:val="LinkdaInternet"/>
        </w:rPr>
        <w:fldChar w:fldCharType="end"/>
      </w:r>
      <w:r>
        <w:rPr/>
        <w:t>;</w:t>
      </w:r>
    </w:p>
    <w:p>
      <w:pPr>
        <w:pStyle w:val="Nivel2"/>
        <w:numPr>
          <w:ilvl w:val="1"/>
          <w:numId w:val="192"/>
        </w:numPr>
        <w:ind w:left="0" w:hanging="0"/>
        <w:rPr/>
      </w:pPr>
      <w: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 atado; 4) Certidão de Regularidade do FGTS – CRF; e 5) Certidão Negativa de Débitos Trabalhistas – CNDT; </w:t>
      </w:r>
    </w:p>
    <w:p>
      <w:pPr>
        <w:pStyle w:val="Nivel2"/>
        <w:numPr>
          <w:ilvl w:val="1"/>
          <w:numId w:val="193"/>
        </w:numPr>
        <w:ind w:left="0" w:hanging="0"/>
        <w:rPr/>
      </w:pPr>
      <w: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194"/>
        </w:numPr>
        <w:ind w:left="0" w:hanging="0"/>
        <w:rPr/>
      </w:pPr>
      <w:r>
        <w:rPr/>
        <w:t>Comunicar ao Fiscal do contrato, no prazo de 24 (vinte e quatro) horas, qualquer ocorrência anormal ou acidente que se verifique no local dos serviços.</w:t>
      </w:r>
    </w:p>
    <w:p>
      <w:pPr>
        <w:pStyle w:val="Nivel2"/>
        <w:numPr>
          <w:ilvl w:val="1"/>
          <w:numId w:val="195"/>
        </w:numPr>
        <w:ind w:left="0" w:hanging="0"/>
        <w:rPr/>
      </w:pPr>
      <w:r>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196"/>
        </w:numPr>
        <w:ind w:left="0" w:hanging="0"/>
        <w:rPr/>
      </w:pPr>
      <w:r>
        <w:rPr/>
        <w:t>Paralisar, por determinação do Contratante, qualquer atividade que não esteja sendo executada de acordo com a boa técnica ou que ponha em risco a segurança de pessoas ou bens de terceiros.</w:t>
      </w:r>
    </w:p>
    <w:p>
      <w:pPr>
        <w:pStyle w:val="Nivel2"/>
        <w:numPr>
          <w:ilvl w:val="1"/>
          <w:numId w:val="197"/>
        </w:numPr>
        <w:ind w:left="0" w:hanging="0"/>
        <w:rPr/>
      </w:pPr>
      <w:r>
        <w:rPr/>
        <w:t>Promover a guarda, manutenção e vigilância de materiais, ferramentas, e tudo o que for necessário à execução do objeto, durante a vigência do contrato.</w:t>
      </w:r>
    </w:p>
    <w:p>
      <w:pPr>
        <w:pStyle w:val="Nivel2"/>
        <w:numPr>
          <w:ilvl w:val="1"/>
          <w:numId w:val="198"/>
        </w:numPr>
        <w:ind w:left="0" w:hanging="0"/>
        <w:rPr/>
      </w:pPr>
      <w:r>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199"/>
        </w:numPr>
        <w:ind w:left="0" w:hanging="0"/>
        <w:rPr/>
      </w:pPr>
      <w:r>
        <w:rPr/>
        <w:t>Submeter previamente, por escrito, ao Contratante, para análise e aprovação, quaisquer mudanças nos métodos executivos que fujam às especificações do memorial descritivo ou instrumento congênere.</w:t>
      </w:r>
    </w:p>
    <w:p>
      <w:pPr>
        <w:pStyle w:val="Nivel2"/>
        <w:numPr>
          <w:ilvl w:val="1"/>
          <w:numId w:val="200"/>
        </w:numPr>
        <w:ind w:left="0" w:hanging="0"/>
        <w:rPr/>
      </w:pPr>
      <w: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201"/>
        </w:numPr>
        <w:ind w:left="0" w:hanging="0"/>
        <w:rPr/>
      </w:pPr>
      <w:r>
        <w:rPr/>
        <w:t xml:space="preserve"> </w:t>
      </w:r>
      <w:r>
        <w:rPr/>
        <w:t xml:space="preserve">Manter durante toda a vigência do contrato, em compatibilidade com as obrigações assumidas, todas as condições exigidas para habilitação na licitação; </w:t>
      </w:r>
    </w:p>
    <w:p>
      <w:pPr>
        <w:pStyle w:val="Nivel2"/>
        <w:numPr>
          <w:ilvl w:val="1"/>
          <w:numId w:val="202"/>
        </w:numPr>
        <w:ind w:left="0" w:hanging="0"/>
        <w:rPr>
          <w:b/>
          <w:bCs/>
        </w:rPr>
      </w:pPr>
      <w: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rPr>
        <w:instrText xml:space="preserve"> HYPERLINK "http://www.planalto.gov.br/ccivil_03/_ato2019-2022/2021/lei/L14133.htm" \l "art116"</w:instrText>
      </w:r>
      <w:r>
        <w:rPr>
          <w:rStyle w:val="LinkdaInternet"/>
        </w:rPr>
        <w:fldChar w:fldCharType="separate"/>
      </w:r>
      <w:r>
        <w:rPr>
          <w:rStyle w:val="LinkdaInternet"/>
        </w:rPr>
        <w:t>art. 116</w:t>
      </w:r>
      <w:r>
        <w:rPr>
          <w:rStyle w:val="LinkdaInternet"/>
        </w:rPr>
        <w:fldChar w:fldCharType="end"/>
      </w:r>
      <w:r>
        <w:rPr/>
        <w:t>);</w:t>
      </w:r>
    </w:p>
    <w:p>
      <w:pPr>
        <w:pStyle w:val="Nivel2"/>
        <w:numPr>
          <w:ilvl w:val="1"/>
          <w:numId w:val="203"/>
        </w:numPr>
        <w:ind w:left="0" w:hanging="0"/>
        <w:rPr/>
      </w:pPr>
      <w:r>
        <w:rPr/>
        <w:t>Comprovar a reserva de cargos a que se refere a cláusula acima, no prazo fixado pelo fiscal do contrato, com a indicação dos empregados que preencheram as referidas vagas (</w:t>
      </w:r>
      <w:r>
        <w:fldChar w:fldCharType="begin"/>
      </w:r>
      <w:r>
        <w:rPr>
          <w:rStyle w:val="LinkdaInternet"/>
        </w:rPr>
        <w:instrText xml:space="preserve"> HYPERLINK "http://www.planalto.gov.br/ccivil_03/_ato2019-2022/2021/lei/L14133.htm" \l "art116"</w:instrText>
      </w:r>
      <w:r>
        <w:rPr>
          <w:rStyle w:val="LinkdaInternet"/>
        </w:rPr>
        <w:fldChar w:fldCharType="separate"/>
      </w:r>
      <w:r>
        <w:rPr>
          <w:rStyle w:val="LinkdaInternet"/>
        </w:rPr>
        <w:t>art. 116, parágrafo único</w:t>
      </w:r>
      <w:r>
        <w:rPr>
          <w:rStyle w:val="LinkdaInternet"/>
        </w:rPr>
        <w:fldChar w:fldCharType="end"/>
      </w:r>
      <w:r>
        <w:rPr/>
        <w:t>);</w:t>
      </w:r>
    </w:p>
    <w:p>
      <w:pPr>
        <w:pStyle w:val="Nivel2"/>
        <w:numPr>
          <w:ilvl w:val="1"/>
          <w:numId w:val="204"/>
        </w:numPr>
        <w:ind w:left="0" w:hanging="0"/>
        <w:rPr/>
      </w:pPr>
      <w:r>
        <w:rPr/>
        <w:t>Guardar sigilo sobre todas as informações obtidas em decorrência do cumprimento do contrato;</w:t>
      </w:r>
    </w:p>
    <w:p>
      <w:pPr>
        <w:pStyle w:val="Nivel2"/>
        <w:numPr>
          <w:ilvl w:val="1"/>
          <w:numId w:val="205"/>
        </w:numPr>
        <w:ind w:left="0" w:hanging="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rPr>
        <w:instrText xml:space="preserve"> HYPERLINK "http://www.planalto.gov.br/ccivil_03/_ato2019-2022/2021/lei/L14133.htm" \l "art124"</w:instrText>
      </w:r>
      <w:r>
        <w:rPr>
          <w:rStyle w:val="LinkdaInternet"/>
        </w:rPr>
        <w:fldChar w:fldCharType="separate"/>
      </w:r>
      <w:r>
        <w:rPr>
          <w:rStyle w:val="LinkdaInternet"/>
        </w:rPr>
        <w:t>art. 124, II, d, da Lei nº 14.133, de 2021</w:t>
      </w:r>
      <w:r>
        <w:rPr>
          <w:rStyle w:val="LinkdaInternet"/>
        </w:rPr>
        <w:fldChar w:fldCharType="end"/>
      </w:r>
      <w:r>
        <w:rPr/>
        <w:t>;</w:t>
      </w:r>
    </w:p>
    <w:p>
      <w:pPr>
        <w:pStyle w:val="Nivel2"/>
        <w:numPr>
          <w:ilvl w:val="1"/>
          <w:numId w:val="206"/>
        </w:numPr>
        <w:ind w:left="0" w:hanging="0"/>
        <w:rPr/>
      </w:pPr>
      <w:r>
        <w:rPr/>
        <w:t>Cumprir, além dos postulados legais vigentes de âmbito federal, estadual ou municipal, as normas de segurança do Contratante;</w:t>
      </w:r>
    </w:p>
    <w:p>
      <w:pPr>
        <w:pStyle w:val="Nivel01"/>
        <w:numPr>
          <w:ilvl w:val="0"/>
          <w:numId w:val="207"/>
        </w:numPr>
        <w:ind w:left="0" w:hanging="0"/>
        <w:rPr>
          <w:color w:val="000000"/>
        </w:rPr>
      </w:pPr>
      <w:r>
        <w:rPr>
          <w:color w:val="000000"/>
        </w:rPr>
        <w:t>CLÁUSULA DÉCIMA- OBRIGAÇÕES PERTINENTES À LGPD</w:t>
      </w:r>
    </w:p>
    <w:p>
      <w:pPr>
        <w:pStyle w:val="Nvel2-Red"/>
        <w:numPr>
          <w:ilvl w:val="1"/>
          <w:numId w:val="208"/>
        </w:numPr>
        <w:ind w:left="0" w:hanging="0"/>
        <w:rPr/>
      </w:pPr>
      <w:r>
        <w:rPr>
          <w:color w:val="000000"/>
        </w:rPr>
        <w:t xml:space="preserve">As partes deverão cumprir a </w:t>
      </w:r>
      <w:hyperlink r:id="rId4">
        <w:r>
          <w:rPr>
            <w:rStyle w:val="LinkdaInternet"/>
            <w:color w:val="000000"/>
          </w:rPr>
          <w:t>Lei nº 13.709, de 14 de agosto de 2018 (LGPD)</w:t>
        </w:r>
      </w:hyperlink>
      <w:r>
        <w:rPr>
          <w:color w:val="000000"/>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vel2-Red"/>
        <w:numPr>
          <w:ilvl w:val="1"/>
          <w:numId w:val="209"/>
        </w:numPr>
        <w:ind w:left="0" w:hanging="0"/>
        <w:rPr/>
      </w:pPr>
      <w:r>
        <w:rPr>
          <w:color w:val="000000"/>
        </w:rPr>
        <w:t xml:space="preserve">Os dados obtidos somente poderão ser utilizados para as finalidades que justificaram seu acesso e de acordo com a boa-fé e com os princípios do </w:t>
      </w:r>
      <w:r>
        <w:fldChar w:fldCharType="begin"/>
      </w:r>
      <w:r>
        <w:rPr>
          <w:rStyle w:val="LinkdaInternet"/>
          <w:color w:val="000000"/>
        </w:rPr>
        <w:instrText xml:space="preserve"> HYPERLINK "https://www.planalto.gov.br/ccivil_03/_ato2015-2018/2018/lei/l13709.htm" \l "art6"</w:instrText>
      </w:r>
      <w:r>
        <w:rPr>
          <w:rStyle w:val="LinkdaInternet"/>
          <w:color w:val="000000"/>
        </w:rPr>
        <w:fldChar w:fldCharType="separate"/>
      </w:r>
      <w:r>
        <w:rPr>
          <w:rStyle w:val="LinkdaInternet"/>
          <w:color w:val="000000"/>
        </w:rPr>
        <w:t>art. 6º da LGPD</w:t>
      </w:r>
      <w:r>
        <w:rPr>
          <w:rStyle w:val="LinkdaInternet"/>
          <w:color w:val="000000"/>
        </w:rPr>
        <w:fldChar w:fldCharType="end"/>
      </w:r>
      <w:r>
        <w:rPr>
          <w:color w:val="000000"/>
        </w:rPr>
        <w:t xml:space="preserve">. </w:t>
      </w:r>
    </w:p>
    <w:p>
      <w:pPr>
        <w:pStyle w:val="Nvel2-Red"/>
        <w:numPr>
          <w:ilvl w:val="1"/>
          <w:numId w:val="210"/>
        </w:numPr>
        <w:ind w:left="0" w:hanging="0"/>
        <w:rPr>
          <w:color w:val="000000"/>
        </w:rPr>
      </w:pPr>
      <w:r>
        <w:rPr>
          <w:color w:val="000000"/>
        </w:rPr>
        <w:t>É vedado o compartilhamento com terceiros dos dados obtidos fora das hipóteses permitidas em Lei.</w:t>
      </w:r>
    </w:p>
    <w:p>
      <w:pPr>
        <w:pStyle w:val="Nvel2-Red"/>
        <w:numPr>
          <w:ilvl w:val="1"/>
          <w:numId w:val="211"/>
        </w:numPr>
        <w:ind w:left="0" w:hanging="0"/>
        <w:rPr>
          <w:color w:val="000000"/>
        </w:rPr>
      </w:pPr>
      <w:r>
        <w:rPr>
          <w:color w:val="000000"/>
        </w:rPr>
        <w:t xml:space="preserve">A Administração deverá ser informada no prazo de 5 (cinco) dias úteis sobre todos os contratos de suboperação firmados ou que venham a ser celebrados pelo Contratado. </w:t>
      </w:r>
    </w:p>
    <w:p>
      <w:pPr>
        <w:pStyle w:val="Nvel2-Red"/>
        <w:numPr>
          <w:ilvl w:val="1"/>
          <w:numId w:val="212"/>
        </w:numPr>
        <w:ind w:left="0" w:hanging="0"/>
        <w:rPr/>
      </w:pPr>
      <w:r>
        <w:rPr>
          <w:color w:val="000000"/>
        </w:rPr>
        <w:t xml:space="preserve">Terminado o tratamento dos dados nos termos do </w:t>
      </w:r>
      <w:r>
        <w:fldChar w:fldCharType="begin"/>
      </w:r>
      <w:r>
        <w:rPr>
          <w:rStyle w:val="LinkdaInternet"/>
          <w:color w:val="000000"/>
        </w:rPr>
        <w:instrText xml:space="preserve"> HYPERLINK "https://www.planalto.gov.br/ccivil_03/_ato2015-2018/2018/lei/l13709.htm" \l "art15"</w:instrText>
      </w:r>
      <w:r>
        <w:rPr>
          <w:rStyle w:val="LinkdaInternet"/>
          <w:color w:val="000000"/>
        </w:rPr>
        <w:fldChar w:fldCharType="separate"/>
      </w:r>
      <w:r>
        <w:rPr>
          <w:rStyle w:val="LinkdaInternet"/>
          <w:color w:val="000000"/>
        </w:rPr>
        <w:t>art. 15 da LGPD</w:t>
      </w:r>
      <w:r>
        <w:rPr>
          <w:rStyle w:val="LinkdaInternet"/>
          <w:color w:val="000000"/>
        </w:rPr>
        <w:fldChar w:fldCharType="end"/>
      </w:r>
      <w:r>
        <w:rPr>
          <w:color w:val="000000"/>
        </w:rPr>
        <w:t xml:space="preserve">, é dever do contratado eliminá-los, com exceção das hipóteses do </w:t>
      </w:r>
      <w:r>
        <w:fldChar w:fldCharType="begin"/>
      </w:r>
      <w:r>
        <w:rPr>
          <w:rStyle w:val="LinkdaInternet"/>
          <w:color w:val="000000"/>
        </w:rPr>
        <w:instrText xml:space="preserve"> HYPERLINK "https://www.planalto.gov.br/ccivil_03/_ato2015-2018/2018/lei/l13709.htm" \l "art16"</w:instrText>
      </w:r>
      <w:r>
        <w:rPr>
          <w:rStyle w:val="LinkdaInternet"/>
          <w:color w:val="000000"/>
        </w:rPr>
        <w:fldChar w:fldCharType="separate"/>
      </w:r>
      <w:r>
        <w:rPr>
          <w:rStyle w:val="LinkdaInternet"/>
          <w:color w:val="000000"/>
        </w:rPr>
        <w:t>art. 16 da LGPD</w:t>
      </w:r>
      <w:r>
        <w:rPr>
          <w:rStyle w:val="LinkdaInternet"/>
          <w:color w:val="000000"/>
        </w:rPr>
        <w:fldChar w:fldCharType="end"/>
      </w:r>
      <w:r>
        <w:rPr>
          <w:color w:val="000000"/>
        </w:rPr>
        <w:t xml:space="preserve">, incluindo aquelas em que houver necessidade de guarda de documentação para fins de comprovação do cumprimento de obrigações legais ou contratuais e somente enquanto não prescritas essas obrigações. </w:t>
      </w:r>
    </w:p>
    <w:p>
      <w:pPr>
        <w:pStyle w:val="Nvel2-Red"/>
        <w:numPr>
          <w:ilvl w:val="1"/>
          <w:numId w:val="213"/>
        </w:numPr>
        <w:ind w:left="0" w:hanging="0"/>
        <w:rPr>
          <w:color w:val="000000"/>
        </w:rPr>
      </w:pPr>
      <w:r>
        <w:rPr>
          <w:color w:val="000000"/>
        </w:rPr>
        <w:t xml:space="preserve">É dever do contratado orientar e treinar seus empregados sobre os deveres, requisitos e responsabilidades decorrentes da LGPD. </w:t>
      </w:r>
    </w:p>
    <w:p>
      <w:pPr>
        <w:pStyle w:val="Nvel2-Red"/>
        <w:numPr>
          <w:ilvl w:val="1"/>
          <w:numId w:val="214"/>
        </w:numPr>
        <w:ind w:left="0" w:hanging="0"/>
        <w:rPr>
          <w:color w:val="000000"/>
        </w:rPr>
      </w:pPr>
      <w:r>
        <w:rPr>
          <w:color w:val="000000"/>
        </w:rPr>
        <w:t>O Contratado deverá exigir de suboperadores e subcontratados o cumprimento dos deveres da presente cláusula, permanecendo integralmente responsável por garantir sua observância.</w:t>
      </w:r>
    </w:p>
    <w:p>
      <w:pPr>
        <w:pStyle w:val="Nvel2-Red"/>
        <w:numPr>
          <w:ilvl w:val="1"/>
          <w:numId w:val="215"/>
        </w:numPr>
        <w:ind w:left="0" w:hanging="0"/>
        <w:rPr>
          <w:color w:val="000000"/>
        </w:rPr>
      </w:pPr>
      <w:r>
        <w:rPr>
          <w:color w:val="000000"/>
        </w:rPr>
        <w:t xml:space="preserve">O Contratante poderá realizar diligência para aferir o cumprimento dessa cláusula, devendo o Contratado atender prontamente eventuais pedidos de comprovação formulados. </w:t>
      </w:r>
    </w:p>
    <w:p>
      <w:pPr>
        <w:pStyle w:val="Nvel2-Red"/>
        <w:numPr>
          <w:ilvl w:val="1"/>
          <w:numId w:val="216"/>
        </w:numPr>
        <w:ind w:left="0" w:hanging="0"/>
        <w:rPr>
          <w:color w:val="000000"/>
        </w:rPr>
      </w:pPr>
      <w:r>
        <w:rPr>
          <w:color w:val="000000"/>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217"/>
        </w:numPr>
        <w:ind w:left="0" w:hanging="0"/>
        <w:rPr/>
      </w:pPr>
      <w:r>
        <w:rPr>
          <w:color w:val="000000"/>
        </w:rPr>
        <w:t>Bancos de dados formados a partir de contratos administrativos, notadamente aqueles que se proponham a armazenar dados pessoais, devem ser mantidos em ambiente virtual controlado, com registro individual rastreável de tratamentos realizados (</w:t>
      </w:r>
      <w:hyperlink r:id="rId5">
        <w:r>
          <w:rPr>
            <w:rStyle w:val="LinkdaInternet"/>
            <w:color w:val="000000"/>
          </w:rPr>
          <w:t>LGPD, art. 37</w:t>
        </w:r>
      </w:hyperlink>
      <w:r>
        <w:rPr>
          <w:color w:val="000000"/>
        </w:rPr>
        <w:t>), com cada acesso, data, horário e registro da finalidade, para efeito de responsabilização, em caso de eventuais omissões, desvios ou abusos.</w:t>
      </w:r>
    </w:p>
    <w:p>
      <w:pPr>
        <w:pStyle w:val="Nvel3-R"/>
        <w:numPr>
          <w:ilvl w:val="2"/>
          <w:numId w:val="218"/>
        </w:numPr>
        <w:ind w:left="284" w:hanging="0"/>
        <w:rPr>
          <w:color w:val="000000"/>
        </w:rPr>
      </w:pPr>
      <w:r>
        <w:rPr>
          <w:color w:val="000000"/>
        </w:rPr>
        <w:t>Os referidos bancos de dados devem ser desenvolvidos em formato interoperável, a fim de garantir a reutilização desses dados pela Administração nas hipóteses previstas na LGPD.</w:t>
      </w:r>
    </w:p>
    <w:p>
      <w:pPr>
        <w:pStyle w:val="Nvel2-Red"/>
        <w:numPr>
          <w:ilvl w:val="1"/>
          <w:numId w:val="219"/>
        </w:numPr>
        <w:ind w:left="0" w:hanging="0"/>
        <w:rPr>
          <w:color w:val="000000"/>
        </w:rPr>
      </w:pPr>
      <w:r>
        <w:rPr>
          <w:color w:val="000000"/>
        </w:rPr>
        <w:t>O contrato está sujeito a ser alterado nos procedimentos pertinentes ao tratamento de dados pessoais, quando indicado pela autoridade competente, em especial a ANPD por meio de opiniões técnicas ou recomendações, editadas na forma da LGPD.</w:t>
      </w:r>
    </w:p>
    <w:p>
      <w:pPr>
        <w:pStyle w:val="Nivel01"/>
        <w:numPr>
          <w:ilvl w:val="0"/>
          <w:numId w:val="220"/>
        </w:numPr>
        <w:ind w:left="0" w:hanging="0"/>
        <w:rPr>
          <w:color w:val="FFFFFF" w:themeColor="background1"/>
        </w:rPr>
      </w:pPr>
      <w:r>
        <w:rPr>
          <w:shd w:fill="FFFFFF" w:val="clear"/>
        </w:rPr>
        <w:t>CLÁUSULA DÉCIMA PRIMEIRA</w:t>
      </w:r>
      <w:r>
        <w:rPr/>
        <w:t xml:space="preserve"> – GARANTIA DE EXECUÇÃO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XII</w:t>
      </w:r>
      <w:r>
        <w:rPr>
          <w:rStyle w:val="LinkdaInternet"/>
        </w:rPr>
        <w:fldChar w:fldCharType="end"/>
      </w:r>
      <w:r>
        <w:rPr/>
        <w:t>)</w:t>
      </w:r>
    </w:p>
    <w:p>
      <w:pPr>
        <w:pStyle w:val="Nvel2-Red"/>
        <w:numPr>
          <w:ilvl w:val="1"/>
          <w:numId w:val="221"/>
        </w:numPr>
        <w:ind w:left="0" w:hanging="0"/>
        <w:rPr>
          <w:color w:val="000000"/>
        </w:rPr>
      </w:pPr>
      <w:r>
        <w:rPr>
          <w:color w:val="000000"/>
        </w:rPr>
        <w:t>Não haverá exigência de garantia contratual da execução.</w:t>
      </w:r>
    </w:p>
    <w:p>
      <w:pPr>
        <w:pStyle w:val="Nivel01"/>
        <w:numPr>
          <w:ilvl w:val="0"/>
          <w:numId w:val="222"/>
        </w:numPr>
        <w:ind w:left="0" w:hanging="0"/>
        <w:rPr>
          <w:color w:val="FFFFFF" w:themeColor="background1"/>
        </w:rPr>
      </w:pPr>
      <w:r>
        <w:rPr/>
        <w:t>CLÁUSULA DÉCIMA SEGUNDA – INFRAÇÕES E SANÇÕES ADMINISTRATIVAS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XIV</w:t>
      </w:r>
      <w:r>
        <w:rPr>
          <w:rStyle w:val="LinkdaInternet"/>
        </w:rPr>
        <w:fldChar w:fldCharType="end"/>
      </w:r>
      <w:r>
        <w:rPr/>
        <w:t>)</w:t>
      </w:r>
    </w:p>
    <w:p>
      <w:pPr>
        <w:pStyle w:val="Nivel2"/>
        <w:numPr>
          <w:ilvl w:val="1"/>
          <w:numId w:val="223"/>
        </w:numPr>
        <w:ind w:left="0" w:hanging="0"/>
        <w:rPr/>
      </w:pPr>
      <w:r>
        <w:rPr/>
        <w:t xml:space="preserve">Comete infração administrativa, nos termos da </w:t>
      </w:r>
      <w:hyperlink r:id="rId6">
        <w:r>
          <w:rPr>
            <w:rStyle w:val="LinkdaInternet"/>
          </w:rPr>
          <w:t>Lei nº 14.133, de 2021</w:t>
        </w:r>
      </w:hyperlink>
      <w:r>
        <w:rPr/>
        <w:t>, o contratado que:</w:t>
      </w:r>
    </w:p>
    <w:p>
      <w:pPr>
        <w:pStyle w:val="Normal"/>
        <w:numPr>
          <w:ilvl w:val="2"/>
          <w:numId w:val="6"/>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6"/>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6"/>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6"/>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6"/>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6"/>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6"/>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6"/>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praticar ato lesivo previsto no art. 5º da Lei nº 12.846, de 1º de agosto de 2013.</w:t>
      </w:r>
    </w:p>
    <w:p>
      <w:pPr>
        <w:pStyle w:val="Nivel2"/>
        <w:numPr>
          <w:ilvl w:val="1"/>
          <w:numId w:val="224"/>
        </w:numPr>
        <w:ind w:left="0" w:hanging="0"/>
        <w:rPr/>
      </w:pPr>
      <w:r>
        <w:rPr/>
        <w:t>Serão aplicadas ao contratado que incorrer nas infrações acima descritas as seguintes sanções:</w:t>
      </w:r>
    </w:p>
    <w:p>
      <w:pPr>
        <w:pStyle w:val="Normal"/>
        <w:numPr>
          <w:ilvl w:val="2"/>
          <w:numId w:val="7"/>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rPr>
          <w:rStyle w:val="LinkdaInternet"/>
          <w:sz w:val="20"/>
          <w:szCs w:val="20"/>
          <w:rFonts w:eastAsia="Arial" w:cs="Arial" w:ascii="Arial" w:hAnsi="Arial"/>
        </w:rPr>
        <w:instrText xml:space="preserve"> HYPERLINK "http://www.planalto.gov.br/ccivil_03/_ato2019-2022/2021/lei/L14133.htm" \l "art156§2"</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 xml:space="preserve">art. 156, §2º, da </w:t>
      </w:r>
      <w:r>
        <w:rPr>
          <w:rStyle w:val="LinkdaInternet"/>
          <w:sz w:val="20"/>
          <w:szCs w:val="20"/>
          <w:rFonts w:eastAsia="Arial" w:cs="Arial" w:ascii="Arial" w:hAnsi="Arial"/>
        </w:rPr>
        <w:fldChar w:fldCharType="end"/>
      </w:r>
      <w:bookmarkStart w:id="4" w:name="_Hlk114504069"/>
      <w:r>
        <w:rPr>
          <w:rStyle w:val="LinkdaInternet"/>
          <w:rFonts w:eastAsia="Arial" w:cs="Arial" w:ascii="Arial" w:hAnsi="Arial"/>
          <w:sz w:val="20"/>
          <w:szCs w:val="20"/>
        </w:rPr>
        <w:t>Lei nº 14.133, de 2021</w:t>
      </w:r>
      <w:bookmarkEnd w:id="4"/>
      <w:r>
        <w:rPr>
          <w:rFonts w:eastAsia="Arial" w:cs="Arial" w:ascii="Arial" w:hAnsi="Arial"/>
          <w:sz w:val="20"/>
          <w:szCs w:val="20"/>
        </w:rPr>
        <w:t>);</w:t>
      </w:r>
    </w:p>
    <w:p>
      <w:pPr>
        <w:pStyle w:val="Normal"/>
        <w:numPr>
          <w:ilvl w:val="2"/>
          <w:numId w:val="7"/>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rPr>
          <w:rStyle w:val="LinkdaInternet"/>
          <w:sz w:val="20"/>
          <w:szCs w:val="20"/>
          <w:rFonts w:eastAsia="Arial" w:cs="Arial" w:ascii="Arial" w:hAnsi="Arial"/>
        </w:rPr>
        <w:instrText xml:space="preserve"> HYPERLINK "http://www.planalto.gov.br/ccivil_03/_ato2019-2022/2021/lei/L14133.htm" \l "art156§4"</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 4º,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numPr>
          <w:ilvl w:val="2"/>
          <w:numId w:val="7"/>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r>
        <w:fldChar w:fldCharType="begin"/>
      </w:r>
      <w:r>
        <w:rPr>
          <w:rStyle w:val="LinkdaInternet"/>
          <w:sz w:val="20"/>
          <w:szCs w:val="20"/>
          <w:rFonts w:eastAsia="Arial" w:cs="Arial" w:ascii="Arial" w:hAnsi="Arial"/>
        </w:rPr>
        <w:instrText xml:space="preserve"> HYPERLINK "http://www.planalto.gov.br/ccivil_03/_ato2019-2022/2021/lei/L14133.htm" \l "art156§5"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§5º,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numPr>
          <w:ilvl w:val="2"/>
          <w:numId w:val="7"/>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Multa:</w:t>
      </w:r>
    </w:p>
    <w:p>
      <w:pPr>
        <w:pStyle w:val="Normal"/>
        <w:numPr>
          <w:ilvl w:val="3"/>
          <w:numId w:val="7"/>
        </w:numPr>
        <w:suppressAutoHyphens w:val="true"/>
        <w:spacing w:lineRule="auto" w:line="276" w:before="120" w:after="120"/>
        <w:ind w:left="567" w:hanging="0"/>
        <w:contextualSpacing/>
        <w:jc w:val="both"/>
        <w:rPr>
          <w:rFonts w:ascii="Arial" w:hAnsi="Arial" w:eastAsia="Arial" w:cs="Arial"/>
          <w:sz w:val="20"/>
          <w:szCs w:val="20"/>
        </w:rPr>
      </w:pPr>
      <w:r>
        <w:rPr>
          <w:rFonts w:eastAsia="Arial" w:cs="Arial" w:ascii="Arial" w:hAnsi="Arial"/>
          <w:sz w:val="20"/>
          <w:szCs w:val="20"/>
        </w:rPr>
        <w:t>Moratória de</w:t>
      </w:r>
      <w:r>
        <w:rPr>
          <w:rFonts w:eastAsia="Arial" w:cs="Arial" w:ascii="Arial" w:hAnsi="Arial"/>
          <w:color w:val="000000"/>
          <w:sz w:val="20"/>
          <w:szCs w:val="20"/>
        </w:rPr>
        <w:t xml:space="preserve"> 0,5</w:t>
      </w:r>
      <w:r>
        <w:rPr>
          <w:rFonts w:eastAsia="Arial" w:cs="Arial" w:ascii="Arial" w:hAnsi="Arial"/>
          <w:sz w:val="20"/>
          <w:szCs w:val="20"/>
        </w:rPr>
        <w:t>% (cinco décimos por cento) por dia de atraso injustificado sobre o valor da parcela inadimplida, até o limite de 15 (quinze) dias;</w:t>
      </w:r>
    </w:p>
    <w:p>
      <w:pPr>
        <w:pStyle w:val="Normal"/>
        <w:numPr>
          <w:ilvl w:val="3"/>
          <w:numId w:val="7"/>
        </w:numPr>
        <w:suppressAutoHyphens w:val="true"/>
        <w:spacing w:lineRule="auto" w:line="276" w:before="120" w:after="120"/>
        <w:ind w:left="567" w:hanging="0"/>
        <w:contextualSpacing/>
        <w:jc w:val="both"/>
        <w:rPr>
          <w:color w:val="000000"/>
        </w:rPr>
      </w:pPr>
      <w:r>
        <w:rPr>
          <w:rFonts w:eastAsia="Arial" w:cs="Arial" w:ascii="Arial" w:hAnsi="Arial"/>
          <w:i/>
          <w:iCs/>
          <w:color w:val="000000"/>
          <w:sz w:val="20"/>
          <w:szCs w:val="20"/>
        </w:rPr>
        <w:t xml:space="preserve">Moratória de </w:t>
      </w:r>
      <w:r>
        <w:rPr>
          <w:rFonts w:eastAsia="Arial" w:cs="Arial" w:ascii="Arial" w:hAnsi="Arial"/>
          <w:i/>
          <w:iCs/>
          <w:color w:val="000000"/>
          <w:sz w:val="20"/>
          <w:szCs w:val="20"/>
          <w:shd w:fill="auto" w:val="clear"/>
        </w:rPr>
        <w:t xml:space="preserve">0,07% (sete centésimos por cento) do valor total do contrato por dia de atraso injustificado, até o máximo de 2% (dois por cento), </w:t>
      </w:r>
      <w:r>
        <w:rPr>
          <w:rFonts w:eastAsia="Arial" w:cs="Arial" w:ascii="Arial" w:hAnsi="Arial"/>
          <w:i/>
          <w:iCs/>
          <w:color w:val="000000"/>
          <w:sz w:val="20"/>
          <w:szCs w:val="20"/>
        </w:rPr>
        <w:t xml:space="preserve">pela inobservância do prazo fixado para apresentação, suplementação ou reposição da garantia. </w:t>
      </w:r>
    </w:p>
    <w:p>
      <w:pPr>
        <w:pStyle w:val="Normal"/>
        <w:numPr>
          <w:ilvl w:val="7"/>
          <w:numId w:val="7"/>
        </w:numPr>
        <w:suppressAutoHyphens w:val="true"/>
        <w:spacing w:lineRule="auto" w:line="276" w:before="120" w:after="120"/>
        <w:ind w:left="851" w:hanging="0"/>
        <w:contextualSpacing/>
        <w:jc w:val="both"/>
        <w:rPr/>
      </w:pPr>
      <w:r>
        <w:rPr>
          <w:rFonts w:eastAsia="Arial" w:cs="Arial" w:ascii="Arial" w:hAnsi="Arial"/>
          <w:i/>
          <w:iCs/>
          <w:color w:val="000000"/>
          <w:sz w:val="20"/>
          <w:szCs w:val="20"/>
        </w:rPr>
        <w:t xml:space="preserve">O atraso superior a 25 (vinte e cinco) dias autoriza a Administração a promover a extinção do contrato por descumprimento ou cumprimento irregular de suas cláusulas, conforme dispõe o </w:t>
      </w:r>
      <w:r>
        <w:fldChar w:fldCharType="begin"/>
      </w:r>
      <w:r>
        <w:rPr>
          <w:rStyle w:val="LinkdaInternet"/>
          <w:sz w:val="20"/>
          <w:i/>
          <w:szCs w:val="20"/>
          <w:iCs/>
          <w:rFonts w:eastAsia="Arial" w:cs="Arial" w:ascii="Arial" w:hAnsi="Arial"/>
          <w:color w:val="000000"/>
        </w:rPr>
        <w:instrText xml:space="preserve"> HYPERLINK "http://www.planalto.gov.br/ccivil_03/_ato2019-2022/2021/lei/L14133.htm" \l "art137"</w:instrText>
      </w:r>
      <w:r>
        <w:rPr>
          <w:rStyle w:val="LinkdaInternet"/>
          <w:sz w:val="20"/>
          <w:i/>
          <w:szCs w:val="20"/>
          <w:iCs/>
          <w:rFonts w:eastAsia="Arial" w:cs="Arial" w:ascii="Arial" w:hAnsi="Arial"/>
          <w:color w:val="000000"/>
        </w:rPr>
        <w:fldChar w:fldCharType="separate"/>
      </w:r>
      <w:r>
        <w:rPr>
          <w:rStyle w:val="LinkdaInternet"/>
          <w:rFonts w:eastAsia="Arial" w:cs="Arial" w:ascii="Arial" w:hAnsi="Arial"/>
          <w:i/>
          <w:iCs/>
          <w:color w:val="000000"/>
          <w:sz w:val="20"/>
          <w:szCs w:val="20"/>
        </w:rPr>
        <w:t>inciso I do art. 137 da Lei n. 14.133, de 2021</w:t>
      </w:r>
      <w:r>
        <w:rPr>
          <w:rStyle w:val="LinkdaInternet"/>
          <w:sz w:val="20"/>
          <w:i/>
          <w:szCs w:val="20"/>
          <w:iCs/>
          <w:rFonts w:eastAsia="Arial" w:cs="Arial" w:ascii="Arial" w:hAnsi="Arial"/>
          <w:color w:val="000000"/>
        </w:rPr>
        <w:fldChar w:fldCharType="end"/>
      </w:r>
      <w:r>
        <w:rPr>
          <w:rFonts w:eastAsia="Arial" w:cs="Arial" w:ascii="Arial" w:hAnsi="Arial"/>
          <w:i/>
          <w:iCs/>
          <w:color w:val="000000"/>
          <w:sz w:val="20"/>
          <w:szCs w:val="20"/>
        </w:rPr>
        <w:t xml:space="preserve">. </w:t>
      </w:r>
    </w:p>
    <w:p>
      <w:pPr>
        <w:pStyle w:val="Nivel2"/>
        <w:numPr>
          <w:ilvl w:val="1"/>
          <w:numId w:val="225"/>
        </w:numPr>
        <w:ind w:left="0" w:hanging="0"/>
        <w:rPr/>
      </w:pPr>
      <w:r>
        <w:rPr/>
        <w:t>A aplicação das sanções previstas neste Contrato não exclui, em hipótese alguma, a obrigação de reparação integral do dano causado ao Contratante (</w:t>
      </w:r>
      <w:r>
        <w:fldChar w:fldCharType="begin"/>
      </w:r>
      <w:r>
        <w:rPr>
          <w:rStyle w:val="LinkdaInternet"/>
        </w:rPr>
        <w:instrText xml:space="preserve"> HYPERLINK "http://www.planalto.gov.br/ccivil_03/_ato2019-2022/2021/lei/L14133.htm" \l "art156§9"</w:instrText>
      </w:r>
      <w:r>
        <w:rPr>
          <w:rStyle w:val="LinkdaInternet"/>
        </w:rPr>
        <w:fldChar w:fldCharType="separate"/>
      </w:r>
      <w:r>
        <w:rPr>
          <w:rStyle w:val="LinkdaInternet"/>
        </w:rPr>
        <w:t>art. 156, §9º, da Lei nº 14.133, de 2021</w:t>
      </w:r>
      <w:r>
        <w:rPr>
          <w:rStyle w:val="LinkdaInternet"/>
        </w:rPr>
        <w:fldChar w:fldCharType="end"/>
      </w:r>
      <w:r>
        <w:rPr/>
        <w:t>)</w:t>
      </w:r>
    </w:p>
    <w:p>
      <w:pPr>
        <w:pStyle w:val="Nivel2"/>
        <w:numPr>
          <w:ilvl w:val="1"/>
          <w:numId w:val="226"/>
        </w:numPr>
        <w:ind w:left="0" w:hanging="0"/>
        <w:rPr/>
      </w:pPr>
      <w:r>
        <w:rPr/>
        <w:t>Todas as sanções previstas neste Contrato poderão ser aplicadas cumulativamente com a multa (</w:t>
      </w:r>
      <w:r>
        <w:fldChar w:fldCharType="begin"/>
      </w:r>
      <w:r>
        <w:rPr>
          <w:rStyle w:val="LinkdaInternet"/>
        </w:rPr>
        <w:instrText xml:space="preserve"> HYPERLINK "http://www.planalto.gov.br/ccivil_03/_ato2019-2022/2021/lei/L14133.htm" \l "art156§7"</w:instrText>
      </w:r>
      <w:r>
        <w:rPr>
          <w:rStyle w:val="LinkdaInternet"/>
        </w:rPr>
        <w:fldChar w:fldCharType="separate"/>
      </w:r>
      <w:r>
        <w:rPr>
          <w:rStyle w:val="LinkdaInternet"/>
        </w:rPr>
        <w:t>art. 156, §7º, da Lei nº 14.133, de 2021</w:t>
      </w:r>
      <w:r>
        <w:rPr>
          <w:rStyle w:val="LinkdaInternet"/>
        </w:rPr>
        <w:fldChar w:fldCharType="end"/>
      </w:r>
      <w:r>
        <w:rPr/>
        <w:t>).</w:t>
      </w:r>
    </w:p>
    <w:p>
      <w:pPr>
        <w:pStyle w:val="Nivel3"/>
        <w:numPr>
          <w:ilvl w:val="2"/>
          <w:numId w:val="227"/>
        </w:numPr>
        <w:ind w:left="284" w:hanging="0"/>
        <w:rPr/>
      </w:pPr>
      <w:r>
        <w:rPr/>
        <w:t>Antes da aplicação da multa será facultada a defesa do interessado no prazo de 15 (quinze) dias úteis, contado da data de sua intimação (</w:t>
      </w:r>
      <w:r>
        <w:fldChar w:fldCharType="begin"/>
      </w:r>
      <w:r>
        <w:rPr>
          <w:rStyle w:val="LinkdaInternet"/>
        </w:rPr>
        <w:instrText xml:space="preserve"> HYPERLINK "http://www.planalto.gov.br/ccivil_03/_ato2019-2022/2021/lei/L14133.htm" \l "art157"</w:instrText>
      </w:r>
      <w:r>
        <w:rPr>
          <w:rStyle w:val="LinkdaInternet"/>
        </w:rPr>
        <w:fldChar w:fldCharType="separate"/>
      </w:r>
      <w:r>
        <w:rPr>
          <w:rStyle w:val="LinkdaInternet"/>
        </w:rPr>
        <w:t>art. 157, da Lei nº 14.133, de 2021</w:t>
      </w:r>
      <w:r>
        <w:rPr>
          <w:rStyle w:val="LinkdaInternet"/>
        </w:rPr>
        <w:fldChar w:fldCharType="end"/>
      </w:r>
      <w:r>
        <w:rPr/>
        <w:t>)</w:t>
      </w:r>
    </w:p>
    <w:p>
      <w:pPr>
        <w:pStyle w:val="Nivel2"/>
        <w:numPr>
          <w:ilvl w:val="1"/>
          <w:numId w:val="228"/>
        </w:numPr>
        <w:ind w:left="0" w:hanging="0"/>
        <w:rPr/>
      </w:pPr>
      <w: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rPr>
        <w:instrText xml:space="preserve"> HYPERLINK "http://www.planalto.gov.br/ccivil_03/_ato2019-2022/2021/lei/L14133.htm" \l "art156§8"</w:instrText>
      </w:r>
      <w:r>
        <w:rPr>
          <w:rStyle w:val="LinkdaInternet"/>
        </w:rPr>
        <w:fldChar w:fldCharType="separate"/>
      </w:r>
      <w:r>
        <w:rPr>
          <w:rStyle w:val="LinkdaInternet"/>
        </w:rPr>
        <w:t>art. 156, §8º, da Lei nº 14.133, de 2021</w:t>
      </w:r>
      <w:r>
        <w:rPr>
          <w:rStyle w:val="LinkdaInternet"/>
        </w:rPr>
        <w:fldChar w:fldCharType="end"/>
      </w:r>
      <w:r>
        <w:rPr/>
        <w:t>).</w:t>
      </w:r>
    </w:p>
    <w:p>
      <w:pPr>
        <w:pStyle w:val="Nivel2"/>
        <w:numPr>
          <w:ilvl w:val="1"/>
          <w:numId w:val="229"/>
        </w:numPr>
        <w:ind w:left="0" w:hanging="0"/>
        <w:rPr/>
      </w:pPr>
      <w:r>
        <w:rPr/>
        <w:t>Previamente ao encaminhamento à cobrança judicial, a multa poderá ser recolhida administrativamente no prazo máximo de 1</w:t>
      </w:r>
      <w:r>
        <w:rPr>
          <w:color w:val="000000"/>
        </w:rPr>
        <w:t>5</w:t>
      </w:r>
      <w:r>
        <w:rPr>
          <w:i/>
          <w:iCs/>
          <w:color w:val="000000"/>
        </w:rPr>
        <w:t xml:space="preserve"> (quinze) </w:t>
      </w:r>
      <w:r>
        <w:rPr/>
        <w:t>dias, a contar da data do recebimento da comunicação enviada pela autoridade competente.</w:t>
      </w:r>
      <w:bookmarkStart w:id="5" w:name="_Hlk78351618"/>
      <w:bookmarkEnd w:id="5"/>
    </w:p>
    <w:p>
      <w:pPr>
        <w:pStyle w:val="Nivel2"/>
        <w:numPr>
          <w:ilvl w:val="1"/>
          <w:numId w:val="230"/>
        </w:numPr>
        <w:ind w:left="0" w:hanging="0"/>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r>
        <w:fldChar w:fldCharType="begin"/>
      </w:r>
      <w:r>
        <w:rPr>
          <w:rStyle w:val="LinkdaInternet"/>
        </w:rPr>
        <w:instrText xml:space="preserve"> HYPERLINK "http://www.planalto.gov.br/ccivil_03/_ato2019-2022/2021/lei/L14133.htm" \l "art158"</w:instrText>
      </w:r>
      <w:r>
        <w:rPr>
          <w:rStyle w:val="LinkdaInternet"/>
        </w:rPr>
        <w:fldChar w:fldCharType="separate"/>
      </w:r>
      <w:r>
        <w:rPr>
          <w:rStyle w:val="LinkdaInternet"/>
        </w:rPr>
        <w:t>art. 158 da Lei nº 14.133, de 2021</w:t>
      </w:r>
      <w:r>
        <w:rPr>
          <w:rStyle w:val="LinkdaInternet"/>
        </w:rPr>
        <w:fldChar w:fldCharType="end"/>
      </w:r>
      <w:r>
        <w:rPr/>
        <w:t>, para as penalidades de impedimento de licitar e contratar e de declaração de inidoneidade para licitar ou contratar.</w:t>
      </w:r>
    </w:p>
    <w:p>
      <w:pPr>
        <w:pStyle w:val="Nivel2"/>
        <w:numPr>
          <w:ilvl w:val="1"/>
          <w:numId w:val="231"/>
        </w:numPr>
        <w:ind w:left="0" w:hanging="0"/>
        <w:rPr/>
      </w:pPr>
      <w:r>
        <w:rPr/>
        <w:t>Na aplicação das sanções serão considerados (</w:t>
      </w:r>
      <w:r>
        <w:fldChar w:fldCharType="begin"/>
      </w:r>
      <w:r>
        <w:rPr>
          <w:rStyle w:val="LinkdaInternet"/>
        </w:rPr>
        <w:instrText xml:space="preserve"> HYPERLINK "http://www.planalto.gov.br/ccivil_03/_ato2019-2022/2021/lei/L14133.htm" \l "art156§1"</w:instrText>
      </w:r>
      <w:r>
        <w:rPr>
          <w:rStyle w:val="LinkdaInternet"/>
        </w:rPr>
        <w:fldChar w:fldCharType="separate"/>
      </w:r>
      <w:r>
        <w:rPr>
          <w:rStyle w:val="LinkdaInternet"/>
        </w:rPr>
        <w:t>art. 156, §1º, da Lei nº 14.133, de 2021</w:t>
      </w:r>
      <w:r>
        <w:rPr>
          <w:rStyle w:val="LinkdaInternet"/>
        </w:rPr>
        <w:fldChar w:fldCharType="end"/>
      </w:r>
      <w:r>
        <w:rPr/>
        <w:t>):</w:t>
      </w:r>
    </w:p>
    <w:p>
      <w:pPr>
        <w:pStyle w:val="Normal"/>
        <w:numPr>
          <w:ilvl w:val="0"/>
          <w:numId w:val="3"/>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3"/>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3"/>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3"/>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3"/>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232"/>
        </w:numPr>
        <w:ind w:left="0" w:hanging="0"/>
        <w:rPr/>
      </w:pPr>
      <w:r>
        <w:rPr/>
        <w:t xml:space="preserve">Os atos previstos como infrações administrativas na </w:t>
      </w:r>
      <w:hyperlink r:id="rId7">
        <w:r>
          <w:rPr>
            <w:rStyle w:val="LinkdaInternet"/>
          </w:rPr>
          <w:t>Lei nº 14.133, de 2021</w:t>
        </w:r>
      </w:hyperlink>
      <w:r>
        <w:rPr/>
        <w:t xml:space="preserve">, ou em outras leis de licitações e contratos da Administração Pública que também sejam tipificados como atos lesivos </w:t>
      </w:r>
      <w:hyperlink r:id="rId8">
        <w:r>
          <w:rPr>
            <w:rStyle w:val="LinkdaInternet"/>
          </w:rPr>
          <w:t>na Lei nº 12.846, de 2013</w:t>
        </w:r>
      </w:hyperlink>
      <w:r>
        <w:rPr/>
        <w:t xml:space="preserve">, serão apurados e julgados conjuntamente, nos mesmos autos, observados o rito procedimental e autoridade competente definidos na referida </w:t>
      </w:r>
      <w:r>
        <w:fldChar w:fldCharType="begin"/>
      </w:r>
      <w:r>
        <w:rPr>
          <w:rStyle w:val="LinkdaInternet"/>
        </w:rPr>
        <w:instrText xml:space="preserve"> HYPERLINK "http://www.planalto.gov.br/ccivil_03/_ato2019-2022/2021/lei/L14133.htm" \l "art159"</w:instrText>
      </w:r>
      <w:r>
        <w:rPr>
          <w:rStyle w:val="LinkdaInternet"/>
        </w:rPr>
        <w:fldChar w:fldCharType="separate"/>
      </w:r>
      <w:r>
        <w:rPr>
          <w:rStyle w:val="LinkdaInternet"/>
        </w:rPr>
        <w:t>Lei (art. 159</w:t>
      </w:r>
      <w:r>
        <w:rPr>
          <w:rStyle w:val="LinkdaInternet"/>
        </w:rPr>
        <w:fldChar w:fldCharType="end"/>
      </w:r>
      <w:r>
        <w:rPr/>
        <w:t>).</w:t>
      </w:r>
    </w:p>
    <w:p>
      <w:pPr>
        <w:pStyle w:val="Nivel2"/>
        <w:numPr>
          <w:ilvl w:val="1"/>
          <w:numId w:val="233"/>
        </w:numPr>
        <w:ind w:left="0" w:hanging="0"/>
        <w:rPr>
          <w:i/>
          <w:i/>
          <w:iCs/>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rPr>
        <w:instrText xml:space="preserve"> HYPERLINK "http://www.planalto.gov.br/ccivil_03/_ato2019-2022/2021/lei/L14133.htm" \l "art160"</w:instrText>
      </w:r>
      <w:r>
        <w:rPr>
          <w:rStyle w:val="LinkdaInternet"/>
        </w:rPr>
        <w:fldChar w:fldCharType="separate"/>
      </w:r>
      <w:r>
        <w:rPr>
          <w:rStyle w:val="LinkdaInternet"/>
        </w:rPr>
        <w:t>art. 160, da Lei nº 14.133, de 2021</w:t>
      </w:r>
      <w:r>
        <w:rPr>
          <w:rStyle w:val="LinkdaInternet"/>
        </w:rPr>
        <w:fldChar w:fldCharType="end"/>
      </w:r>
      <w:r>
        <w:rPr/>
        <w:t>)</w:t>
      </w:r>
    </w:p>
    <w:p>
      <w:pPr>
        <w:pStyle w:val="Nivel2"/>
        <w:numPr>
          <w:ilvl w:val="1"/>
          <w:numId w:val="234"/>
        </w:numPr>
        <w:ind w:left="0" w:hanging="0"/>
        <w:rPr>
          <w:i/>
          <w:i/>
          <w:iCs/>
        </w:rPr>
      </w:pPr>
      <w:r>
        <w:rPr/>
        <w:t xml:space="preserve"> </w:t>
      </w:r>
      <w:r>
        <w:rPr/>
        <w:t xml:space="preserve">O Contratante deverá, no prazo máximo </w:t>
      </w:r>
      <w:r>
        <w:rPr>
          <w:color w:val="auto"/>
        </w:rPr>
        <w:t>de</w:t>
      </w:r>
      <w:r>
        <w:rPr>
          <w:color w:val="00B050"/>
        </w:rPr>
        <w:t xml:space="preserve"> </w:t>
      </w:r>
      <w:r>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rPr>
        <w:instrText xml:space="preserve"> HYPERLINK "http://www.planalto.gov.br/ccivil_03/_ato2019-2022/2021/lei/L14133.htm" \l "art161"</w:instrText>
      </w:r>
      <w:r>
        <w:rPr>
          <w:rStyle w:val="LinkdaInternet"/>
        </w:rPr>
        <w:fldChar w:fldCharType="separate"/>
      </w:r>
      <w:r>
        <w:rPr>
          <w:rStyle w:val="LinkdaInternet"/>
        </w:rPr>
        <w:t>Art. 161, da Lei nº 14.133, de 2021</w:t>
      </w:r>
      <w:r>
        <w:rPr>
          <w:rStyle w:val="LinkdaInternet"/>
        </w:rPr>
        <w:fldChar w:fldCharType="end"/>
      </w:r>
      <w:r>
        <w:rPr/>
        <w:t>)</w:t>
      </w:r>
    </w:p>
    <w:p>
      <w:pPr>
        <w:pStyle w:val="Nivel2"/>
        <w:numPr>
          <w:ilvl w:val="1"/>
          <w:numId w:val="235"/>
        </w:numPr>
        <w:ind w:left="0" w:hanging="0"/>
        <w:rPr>
          <w:i/>
          <w:i/>
          <w:iCs/>
        </w:rPr>
      </w:pPr>
      <w:r>
        <w:rPr/>
        <w:t xml:space="preserve">As sanções de impedimento de licitar e contratar e declaração de inidoneidade para licitar ou contratar são passíveis de reabilitação na forma do </w:t>
      </w:r>
      <w:r>
        <w:fldChar w:fldCharType="begin"/>
      </w:r>
      <w:r>
        <w:rPr>
          <w:rStyle w:val="LinkdaInternet"/>
        </w:rPr>
        <w:instrText xml:space="preserve"> HYPERLINK "http://www.planalto.gov.br/ccivil_03/_ato2019-2022/2021/lei/L14133.htm" \l "art163"</w:instrText>
      </w:r>
      <w:r>
        <w:rPr>
          <w:rStyle w:val="LinkdaInternet"/>
        </w:rPr>
        <w:fldChar w:fldCharType="separate"/>
      </w:r>
      <w:r>
        <w:rPr>
          <w:rStyle w:val="LinkdaInternet"/>
        </w:rPr>
        <w:t>art. 163 da Lei nº 14.133/21.</w:t>
      </w:r>
      <w:r>
        <w:rPr>
          <w:rStyle w:val="LinkdaInternet"/>
        </w:rPr>
        <w:fldChar w:fldCharType="end"/>
      </w:r>
    </w:p>
    <w:p>
      <w:pPr>
        <w:pStyle w:val="Nivel2"/>
        <w:numPr>
          <w:ilvl w:val="1"/>
          <w:numId w:val="236"/>
        </w:numPr>
        <w:ind w:left="0" w:hanging="0"/>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9">
        <w:r>
          <w:rPr>
            <w:rStyle w:val="LinkdaInternet"/>
          </w:rPr>
          <w:t>Instrução Normativa SEGES/ME nº 26, de 13 de abril de 2022</w:t>
        </w:r>
      </w:hyperlink>
      <w:r>
        <w:rPr/>
        <w:t xml:space="preserve">. </w:t>
      </w:r>
    </w:p>
    <w:p>
      <w:pPr>
        <w:pStyle w:val="Nivel01"/>
        <w:numPr>
          <w:ilvl w:val="0"/>
          <w:numId w:val="237"/>
        </w:numPr>
        <w:ind w:left="0" w:hanging="0"/>
        <w:rPr>
          <w:color w:val="FFFFFF" w:themeColor="background1"/>
        </w:rPr>
      </w:pPr>
      <w:r>
        <w:rPr/>
        <w:t>CLÁUSULA DÉCIMA TERCEIRA – DA EXTINÇÃO CONTRATUAL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XIX</w:t>
      </w:r>
      <w:r>
        <w:rPr>
          <w:rStyle w:val="LinkdaInternet"/>
        </w:rPr>
        <w:fldChar w:fldCharType="end"/>
      </w:r>
      <w:r>
        <w:rPr/>
        <w:t>)</w:t>
      </w:r>
    </w:p>
    <w:p>
      <w:pPr>
        <w:pStyle w:val="Nvel2-Red"/>
        <w:numPr>
          <w:ilvl w:val="1"/>
          <w:numId w:val="238"/>
        </w:numPr>
        <w:ind w:left="0" w:hanging="0"/>
        <w:rPr>
          <w:color w:val="000000"/>
          <w:highlight w:val="none"/>
          <w:shd w:fill="auto" w:val="clear"/>
        </w:rPr>
      </w:pPr>
      <w:r>
        <w:rPr>
          <w:color w:val="000000"/>
          <w:shd w:fill="auto" w:val="clear"/>
        </w:rPr>
        <w:t>O contrato será extinto quando cumpridas as obrigações de ambas as partes, ainda que isso ocorra antes do prazo estipulado para tanto.</w:t>
      </w:r>
    </w:p>
    <w:p>
      <w:pPr>
        <w:pStyle w:val="Nvel2-Red"/>
        <w:numPr>
          <w:ilvl w:val="1"/>
          <w:numId w:val="239"/>
        </w:numPr>
        <w:ind w:left="0" w:hanging="0"/>
        <w:rPr>
          <w:color w:val="000000"/>
        </w:rPr>
      </w:pPr>
      <w:r>
        <w:rPr>
          <w:color w:val="000000"/>
        </w:rPr>
        <w:t>Se as obrigações não forem cumpridas no prazo estipulado, a vigência ficará prorrogada até a conclusão do objeto, caso em que deverá a Administração providenciar a readequação do cronograma fixado para o contrato.</w:t>
      </w:r>
    </w:p>
    <w:p>
      <w:pPr>
        <w:pStyle w:val="Nvel2-Red"/>
        <w:numPr>
          <w:ilvl w:val="1"/>
          <w:numId w:val="240"/>
        </w:numPr>
        <w:ind w:left="0" w:hanging="0"/>
        <w:rPr>
          <w:color w:val="000000"/>
        </w:rPr>
      </w:pPr>
      <w:r>
        <w:rPr>
          <w:color w:val="000000"/>
        </w:rPr>
        <w:t>Quando a não conclusão do contrato referida no item anterior decorrer de culpa do contratado:</w:t>
      </w:r>
    </w:p>
    <w:p>
      <w:pPr>
        <w:pStyle w:val="ListParagraph"/>
        <w:numPr>
          <w:ilvl w:val="0"/>
          <w:numId w:val="4"/>
        </w:numPr>
        <w:suppressAutoHyphens w:val="true"/>
        <w:spacing w:lineRule="auto" w:line="276" w:before="120" w:after="120"/>
        <w:ind w:left="284" w:hanging="0"/>
        <w:contextualSpacing/>
        <w:jc w:val="both"/>
        <w:rPr>
          <w:color w:val="000000"/>
        </w:rPr>
      </w:pPr>
      <w:r>
        <w:rPr>
          <w:rFonts w:eastAsia="Arial" w:cs="Arial" w:ascii="Arial" w:hAnsi="Arial"/>
          <w:i/>
          <w:iCs/>
          <w:color w:val="000000"/>
          <w:sz w:val="20"/>
          <w:szCs w:val="20"/>
        </w:rPr>
        <w:t xml:space="preserve">ficará ele constituído em mora, sendo-lhe aplicáveis as respectivas sanções administrativas; e  </w:t>
      </w:r>
    </w:p>
    <w:p>
      <w:pPr>
        <w:pStyle w:val="ListParagraph"/>
        <w:numPr>
          <w:ilvl w:val="0"/>
          <w:numId w:val="4"/>
        </w:numPr>
        <w:suppressAutoHyphens w:val="true"/>
        <w:spacing w:lineRule="auto" w:line="276" w:before="120" w:after="120"/>
        <w:ind w:left="284" w:hanging="0"/>
        <w:contextualSpacing/>
        <w:jc w:val="both"/>
        <w:rPr>
          <w:color w:val="000000"/>
        </w:rPr>
      </w:pPr>
      <w:r>
        <w:rPr>
          <w:rFonts w:eastAsia="Arial" w:cs="Arial" w:ascii="Arial" w:hAnsi="Arial"/>
          <w:i/>
          <w:iCs/>
          <w:color w:val="000000"/>
          <w:sz w:val="20"/>
          <w:szCs w:val="20"/>
        </w:rPr>
        <w:t>poderá a Administração optar pela extinção do contrato e, nesse caso, adotará as medidas admitidas em lei para a continuidade da execução contratual</w:t>
      </w:r>
    </w:p>
    <w:p>
      <w:pPr>
        <w:pStyle w:val="Nivel2"/>
        <w:numPr>
          <w:ilvl w:val="1"/>
          <w:numId w:val="241"/>
        </w:numPr>
        <w:ind w:left="0" w:hanging="0"/>
        <w:rPr/>
      </w:pPr>
      <w:r>
        <w:rPr>
          <w:shd w:fill="auto" w:val="clear"/>
        </w:rPr>
        <w:t xml:space="preserve">O contrato poderá ser extinto antes de cumpridas as obrigações nele estipuladas, ou antes do prazo nele fixado, por algum dos motivos previstos no </w:t>
      </w:r>
      <w:r>
        <w:fldChar w:fldCharType="begin"/>
      </w:r>
      <w:r>
        <w:rPr>
          <w:rStyle w:val="LinkdaInternet"/>
          <w:shd w:fill="auto" w:val="clear"/>
        </w:rPr>
        <w:instrText xml:space="preserve"> HYPERLINK "http://www.planalto.gov.br/ccivil_03/_ato2019-2022/2021/lei/L14133.htm" \l "art137"</w:instrText>
      </w:r>
      <w:r>
        <w:rPr>
          <w:rStyle w:val="LinkdaInternet"/>
          <w:shd w:fill="auto" w:val="clear"/>
        </w:rPr>
        <w:fldChar w:fldCharType="separate"/>
      </w:r>
      <w:r>
        <w:rPr>
          <w:rStyle w:val="LinkdaInternet"/>
          <w:shd w:fill="auto" w:val="clear"/>
        </w:rPr>
        <w:t>artigo 137 da Lei nº 14.133/21</w:t>
      </w:r>
      <w:r>
        <w:rPr>
          <w:rStyle w:val="LinkdaInternet"/>
          <w:shd w:fill="auto" w:val="clear"/>
        </w:rPr>
        <w:fldChar w:fldCharType="end"/>
      </w:r>
      <w:r>
        <w:rPr>
          <w:shd w:fill="auto" w:val="clear"/>
        </w:rPr>
        <w:t xml:space="preserve">, bem como amigavelmente, </w:t>
      </w:r>
      <w:r>
        <w:rPr>
          <w:color w:val="000000" w:themeColor="text1"/>
          <w:shd w:fill="auto" w:val="clear"/>
        </w:rPr>
        <w:t>assegurados o contraditório e a ampla defesa</w:t>
      </w:r>
      <w:r>
        <w:rPr>
          <w:shd w:fill="auto" w:val="clear"/>
        </w:rPr>
        <w:t>.</w:t>
      </w:r>
    </w:p>
    <w:p>
      <w:pPr>
        <w:pStyle w:val="Nivel3"/>
        <w:numPr>
          <w:ilvl w:val="2"/>
          <w:numId w:val="242"/>
        </w:numPr>
        <w:ind w:left="284" w:hanging="0"/>
        <w:rPr/>
      </w:pPr>
      <w:r>
        <w:rPr/>
        <w:t xml:space="preserve">Nesta hipótese, aplicam-se também os </w:t>
      </w:r>
      <w:r>
        <w:fldChar w:fldCharType="begin"/>
      </w:r>
      <w:r>
        <w:rPr>
          <w:rStyle w:val="LinkdaInternet"/>
        </w:rPr>
        <w:instrText xml:space="preserve"> HYPERLINK "http://www.planalto.gov.br/ccivil_03/_ato2019-2022/2021/lei/L14133.htm" \l "art138"</w:instrText>
      </w:r>
      <w:r>
        <w:rPr>
          <w:rStyle w:val="LinkdaInternet"/>
        </w:rPr>
        <w:fldChar w:fldCharType="separate"/>
      </w:r>
      <w:r>
        <w:rPr>
          <w:rStyle w:val="LinkdaInternet"/>
        </w:rPr>
        <w:t>artigos 138 e 139</w:t>
      </w:r>
      <w:r>
        <w:rPr>
          <w:rStyle w:val="LinkdaInternet"/>
        </w:rPr>
        <w:fldChar w:fldCharType="end"/>
      </w:r>
      <w:r>
        <w:rPr/>
        <w:t xml:space="preserve"> da mesma Lei.</w:t>
      </w:r>
    </w:p>
    <w:p>
      <w:pPr>
        <w:pStyle w:val="Nivel3"/>
        <w:numPr>
          <w:ilvl w:val="2"/>
          <w:numId w:val="243"/>
        </w:numPr>
        <w:ind w:left="284" w:hanging="0"/>
        <w:rPr>
          <w:highlight w:val="none"/>
          <w:shd w:fill="auto" w:val="clear"/>
        </w:rPr>
      </w:pPr>
      <w:r>
        <w:rPr>
          <w:shd w:fill="auto" w:val="clear"/>
        </w:rPr>
        <w:t>A alteração social ou a modificação da finalidade ou da estrutura da empresa não ensejará a extinção se não restringir sua capacidade de concluir o contrato.</w:t>
      </w:r>
    </w:p>
    <w:p>
      <w:pPr>
        <w:pStyle w:val="Nivel4"/>
        <w:numPr>
          <w:ilvl w:val="3"/>
          <w:numId w:val="244"/>
        </w:numPr>
        <w:ind w:left="567" w:hanging="0"/>
        <w:rPr>
          <w:highlight w:val="none"/>
          <w:shd w:fill="auto" w:val="clear"/>
        </w:rPr>
      </w:pPr>
      <w:r>
        <w:rPr>
          <w:color w:val="000000" w:themeColor="text1"/>
          <w:shd w:fill="auto" w:val="clear"/>
        </w:rPr>
        <w:t xml:space="preserve">Se a operação </w:t>
      </w:r>
      <w:r>
        <w:rPr>
          <w:shd w:fill="auto" w:val="clear"/>
        </w:rPr>
        <w:t>implicar mudança da pessoa jurídica contratada, deverá ser formalizado termo aditivo para alteração subjetiva.</w:t>
      </w:r>
    </w:p>
    <w:p>
      <w:pPr>
        <w:pStyle w:val="Nivel2"/>
        <w:numPr>
          <w:ilvl w:val="1"/>
          <w:numId w:val="245"/>
        </w:numPr>
        <w:ind w:left="0" w:hanging="0"/>
        <w:rPr>
          <w:highlight w:val="none"/>
          <w:shd w:fill="auto" w:val="clear"/>
        </w:rPr>
      </w:pPr>
      <w:r>
        <w:rPr>
          <w:shd w:fill="auto" w:val="clear"/>
        </w:rPr>
        <w:t>O termo de extinção, sempre que possível, será precedido:</w:t>
      </w:r>
    </w:p>
    <w:p>
      <w:pPr>
        <w:pStyle w:val="Nivel4"/>
        <w:numPr>
          <w:ilvl w:val="3"/>
          <w:numId w:val="246"/>
        </w:numPr>
        <w:ind w:left="567" w:hanging="0"/>
        <w:rPr/>
      </w:pPr>
      <w:r>
        <w:rPr/>
        <w:t>Balanço dos eventos contratuais já cumpridos ou parcialmente cumpridos;</w:t>
      </w:r>
    </w:p>
    <w:p>
      <w:pPr>
        <w:pStyle w:val="Nivel4"/>
        <w:numPr>
          <w:ilvl w:val="3"/>
          <w:numId w:val="247"/>
        </w:numPr>
        <w:ind w:left="567" w:hanging="0"/>
        <w:rPr/>
      </w:pPr>
      <w:r>
        <w:rPr/>
        <w:t>Relação dos pagamentos já efetuados e ainda devidos;</w:t>
      </w:r>
    </w:p>
    <w:p>
      <w:pPr>
        <w:pStyle w:val="Nivel4"/>
        <w:numPr>
          <w:ilvl w:val="3"/>
          <w:numId w:val="248"/>
        </w:numPr>
        <w:ind w:left="567" w:hanging="0"/>
        <w:rPr/>
      </w:pPr>
      <w:r>
        <w:rPr/>
        <w:t>Indenizações e multas.</w:t>
      </w:r>
    </w:p>
    <w:p>
      <w:pPr>
        <w:pStyle w:val="Nivel2"/>
        <w:numPr>
          <w:ilvl w:val="1"/>
          <w:numId w:val="249"/>
        </w:numPr>
        <w:ind w:left="0" w:hanging="0"/>
        <w:rPr/>
      </w:pPr>
      <w:r>
        <w:rPr/>
        <w:t>A extinção do contrato não configura óbice para o reconhecimento do desequilíbrio econômico-financeiro, hipótese em que será concedida indenização por meio de termo indenizatório (</w:t>
      </w:r>
      <w:r>
        <w:fldChar w:fldCharType="begin"/>
      </w:r>
      <w:r>
        <w:rPr>
          <w:rStyle w:val="LinkdaInternet"/>
        </w:rPr>
        <w:instrText xml:space="preserve"> HYPERLINK "http://www.planalto.gov.br/ccivil_03/_ato2019-2022/2021/lei/L14133.htm" \l "art131"</w:instrText>
      </w:r>
      <w:r>
        <w:rPr>
          <w:rStyle w:val="LinkdaInternet"/>
        </w:rPr>
        <w:fldChar w:fldCharType="separate"/>
      </w:r>
      <w:r>
        <w:rPr>
          <w:rStyle w:val="LinkdaInternet"/>
        </w:rPr>
        <w:t xml:space="preserve">art. 131, </w:t>
      </w:r>
      <w:r>
        <w:rPr>
          <w:rStyle w:val="LinkdaInternet"/>
        </w:rPr>
        <w:fldChar w:fldCharType="end"/>
      </w:r>
      <w:r>
        <w:rPr>
          <w:rStyle w:val="LinkdaInternet"/>
          <w:i/>
          <w:iCs/>
        </w:rPr>
        <w:t xml:space="preserve">caput, </w:t>
      </w:r>
      <w:r>
        <w:rPr>
          <w:rStyle w:val="LinkdaInternet"/>
        </w:rPr>
        <w:t>da Lei n.º 14.133, de 2021).</w:t>
      </w:r>
      <w:r>
        <w:rPr/>
        <w:t xml:space="preserve"> </w:t>
      </w:r>
    </w:p>
    <w:p>
      <w:pPr>
        <w:pStyle w:val="Nivel2"/>
        <w:numPr>
          <w:ilvl w:val="1"/>
          <w:numId w:val="250"/>
        </w:numPr>
        <w:ind w:left="0" w:hanging="0"/>
        <w:rPr>
          <w:highlight w:val="none"/>
          <w:shd w:fill="auto" w:val="clear"/>
        </w:rPr>
      </w:pPr>
      <w:r>
        <w:rPr>
          <w:shd w:fill="auto" w:val="clea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251"/>
        </w:numPr>
        <w:ind w:left="0" w:hanging="0"/>
        <w:rPr>
          <w:color w:val="FFFFFF" w:themeColor="background1"/>
        </w:rPr>
      </w:pPr>
      <w:r>
        <w:rPr/>
        <w:t>CLÁUSULA DÉCIMA QUARTA – DOTAÇÃO ORÇAMENTÁRIA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VIII</w:t>
      </w:r>
      <w:r>
        <w:rPr>
          <w:rStyle w:val="LinkdaInternet"/>
        </w:rPr>
        <w:fldChar w:fldCharType="end"/>
      </w:r>
      <w:r>
        <w:rPr/>
        <w:t>)</w:t>
      </w:r>
    </w:p>
    <w:p>
      <w:pPr>
        <w:pStyle w:val="Nivel2"/>
        <w:numPr>
          <w:ilvl w:val="1"/>
          <w:numId w:val="252"/>
        </w:numPr>
        <w:ind w:left="0" w:hanging="0"/>
        <w:rPr/>
      </w:pPr>
      <w:r>
        <w:rPr/>
        <w:t>As despesas decorrentes da presente contratação correrão à conta de recursos específicos consignados no Orçamento Geral da União deste exercício, na dotação abaixo discriminada:</w:t>
      </w:r>
    </w:p>
    <w:p>
      <w:pPr>
        <w:pStyle w:val="Normal"/>
        <w:numPr>
          <w:ilvl w:val="1"/>
          <w:numId w:val="5"/>
        </w:numPr>
        <w:suppressAutoHyphens w:val="true"/>
        <w:spacing w:lineRule="auto" w:line="276" w:before="120" w:after="120"/>
        <w:ind w:left="284" w:firstLine="1134"/>
        <w:jc w:val="both"/>
        <w:rPr>
          <w:rFonts w:ascii="Arial" w:hAnsi="Arial" w:eastAsia="Arial" w:cs="Arial"/>
          <w:sz w:val="20"/>
          <w:szCs w:val="20"/>
        </w:rPr>
      </w:pPr>
      <w:r>
        <w:rPr>
          <w:rFonts w:eastAsia="Arial" w:cs="Arial" w:ascii="Arial" w:hAnsi="Arial"/>
          <w:sz w:val="20"/>
          <w:szCs w:val="20"/>
        </w:rPr>
        <w:t xml:space="preserve">Gestão/Unidade: </w:t>
      </w:r>
    </w:p>
    <w:p>
      <w:pPr>
        <w:pStyle w:val="Normal"/>
        <w:numPr>
          <w:ilvl w:val="1"/>
          <w:numId w:val="5"/>
        </w:numPr>
        <w:suppressAutoHyphens w:val="true"/>
        <w:spacing w:lineRule="auto" w:line="276" w:before="120" w:after="120"/>
        <w:ind w:left="284" w:firstLine="1134"/>
        <w:jc w:val="both"/>
        <w:rPr>
          <w:rFonts w:ascii="Arial" w:hAnsi="Arial" w:eastAsia="Arial" w:cs="Arial"/>
          <w:sz w:val="20"/>
          <w:szCs w:val="20"/>
        </w:rPr>
      </w:pPr>
      <w:r>
        <w:rPr>
          <w:rFonts w:eastAsia="Arial" w:cs="Arial" w:ascii="Arial" w:hAnsi="Arial"/>
          <w:sz w:val="20"/>
          <w:szCs w:val="20"/>
        </w:rPr>
        <w:t xml:space="preserve">Fonte de Recursos:  </w:t>
      </w:r>
    </w:p>
    <w:p>
      <w:pPr>
        <w:pStyle w:val="Normal"/>
        <w:numPr>
          <w:ilvl w:val="1"/>
          <w:numId w:val="5"/>
        </w:numPr>
        <w:suppressAutoHyphens w:val="true"/>
        <w:spacing w:lineRule="auto" w:line="276" w:before="120" w:after="120"/>
        <w:ind w:left="284" w:firstLine="1134"/>
        <w:jc w:val="both"/>
        <w:rPr>
          <w:rFonts w:ascii="Arial" w:hAnsi="Arial" w:eastAsia="Arial" w:cs="Arial"/>
          <w:sz w:val="20"/>
          <w:szCs w:val="20"/>
        </w:rPr>
      </w:pPr>
      <w:r>
        <w:rPr>
          <w:rFonts w:eastAsia="Arial" w:cs="Arial" w:ascii="Arial" w:hAnsi="Arial"/>
          <w:sz w:val="20"/>
          <w:szCs w:val="20"/>
        </w:rPr>
        <w:t xml:space="preserve">Programa de Trabalho: </w:t>
      </w:r>
    </w:p>
    <w:p>
      <w:pPr>
        <w:pStyle w:val="Normal"/>
        <w:numPr>
          <w:ilvl w:val="1"/>
          <w:numId w:val="5"/>
        </w:numPr>
        <w:suppressAutoHyphens w:val="true"/>
        <w:spacing w:lineRule="auto" w:line="276" w:before="120" w:after="120"/>
        <w:ind w:left="284" w:firstLine="1134"/>
        <w:jc w:val="both"/>
        <w:rPr>
          <w:rFonts w:ascii="Arial" w:hAnsi="Arial" w:eastAsia="Arial" w:cs="Arial"/>
          <w:sz w:val="20"/>
          <w:szCs w:val="20"/>
        </w:rPr>
      </w:pPr>
      <w:r>
        <w:rPr>
          <w:rFonts w:eastAsia="Arial" w:cs="Arial" w:ascii="Arial" w:hAnsi="Arial"/>
          <w:sz w:val="20"/>
          <w:szCs w:val="20"/>
        </w:rPr>
        <w:t xml:space="preserve">Elemento de Despesa: </w:t>
      </w:r>
    </w:p>
    <w:p>
      <w:pPr>
        <w:pStyle w:val="Normal"/>
        <w:numPr>
          <w:ilvl w:val="1"/>
          <w:numId w:val="5"/>
        </w:numPr>
        <w:suppressAutoHyphens w:val="true"/>
        <w:spacing w:lineRule="auto" w:line="276" w:before="120" w:after="120"/>
        <w:ind w:left="284" w:firstLine="1134"/>
        <w:jc w:val="both"/>
        <w:rPr>
          <w:rFonts w:ascii="Arial" w:hAnsi="Arial" w:eastAsia="Arial" w:cs="Arial"/>
          <w:sz w:val="20"/>
          <w:szCs w:val="20"/>
        </w:rPr>
      </w:pPr>
      <w:r>
        <w:rPr>
          <w:rFonts w:eastAsia="Arial" w:cs="Arial" w:ascii="Arial" w:hAnsi="Arial"/>
          <w:sz w:val="20"/>
          <w:szCs w:val="20"/>
        </w:rPr>
        <w:t xml:space="preserve">Plano Interno: </w:t>
      </w:r>
    </w:p>
    <w:p>
      <w:pPr>
        <w:pStyle w:val="Normal"/>
        <w:numPr>
          <w:ilvl w:val="1"/>
          <w:numId w:val="5"/>
        </w:numPr>
        <w:suppressAutoHyphens w:val="true"/>
        <w:spacing w:lineRule="auto" w:line="276" w:before="120" w:after="120"/>
        <w:ind w:left="284" w:firstLine="1134"/>
        <w:jc w:val="both"/>
        <w:rPr>
          <w:color w:val="000000"/>
        </w:rPr>
      </w:pPr>
      <w:r>
        <w:rPr>
          <w:rFonts w:eastAsia="Arial" w:cs="Arial" w:ascii="Arial" w:hAnsi="Arial"/>
          <w:color w:val="000000"/>
          <w:sz w:val="20"/>
          <w:szCs w:val="20"/>
        </w:rPr>
        <w:t>Nota de Empenho:</w:t>
      </w:r>
    </w:p>
    <w:p>
      <w:pPr>
        <w:pStyle w:val="Nvel2-Red"/>
        <w:numPr>
          <w:ilvl w:val="1"/>
          <w:numId w:val="253"/>
        </w:numPr>
        <w:ind w:left="0" w:hanging="0"/>
        <w:rPr>
          <w:color w:val="000000"/>
        </w:rPr>
      </w:pPr>
      <w:r>
        <w:rPr>
          <w:color w:val="000000"/>
        </w:rPr>
        <w:t>A dotação relativa aos exercícios financeiros subsequentes será indicada após aprovação da Lei Orçamentária respectiva e liberação dos créditos correspondentes, mediante apostilamento.</w:t>
      </w:r>
    </w:p>
    <w:p>
      <w:pPr>
        <w:pStyle w:val="Nivel01"/>
        <w:numPr>
          <w:ilvl w:val="0"/>
          <w:numId w:val="254"/>
        </w:numPr>
        <w:ind w:left="0" w:hanging="0"/>
        <w:rPr>
          <w:color w:val="FFFFFF" w:themeColor="background1"/>
        </w:rPr>
      </w:pPr>
      <w:r>
        <w:rPr/>
        <w:t>CLÁUSULA DÉCIMA QUINTA – DOS CASOS OMISSOS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III</w:t>
      </w:r>
      <w:r>
        <w:rPr>
          <w:rStyle w:val="LinkdaInternet"/>
        </w:rPr>
        <w:fldChar w:fldCharType="end"/>
      </w:r>
      <w:r>
        <w:rPr/>
        <w:t>)</w:t>
      </w:r>
    </w:p>
    <w:p>
      <w:pPr>
        <w:pStyle w:val="Nivel2"/>
        <w:numPr>
          <w:ilvl w:val="1"/>
          <w:numId w:val="255"/>
        </w:numPr>
        <w:ind w:left="0" w:hanging="0"/>
        <w:rPr/>
      </w:pPr>
      <w:r>
        <w:rPr/>
        <w:t xml:space="preserve">Os casos omissos serão decididos pelo contratante, segundo as disposições contidas na </w:t>
      </w:r>
      <w:hyperlink r:id="rId10">
        <w:r>
          <w:rPr>
            <w:rStyle w:val="LinkdaInternet"/>
          </w:rPr>
          <w:t>Lei nº 14.133, de 2021</w:t>
        </w:r>
      </w:hyperlink>
      <w:r>
        <w:rPr/>
        <w:t xml:space="preserve">, e demais normas federais aplicáveis e, subsidiariamente, segundo as disposições contidas na </w:t>
      </w:r>
      <w:hyperlink r:id="rId11">
        <w:r>
          <w:rPr>
            <w:rStyle w:val="LinkdaInternet"/>
          </w:rPr>
          <w:t>Lei nº 8.078, de 1990 – Código de Defesa do Consumidor</w:t>
        </w:r>
      </w:hyperlink>
      <w:r>
        <w:rPr/>
        <w:t xml:space="preserve"> – e normas e princípios gerais dos contratos.</w:t>
      </w:r>
    </w:p>
    <w:p>
      <w:pPr>
        <w:pStyle w:val="Nivel01"/>
        <w:numPr>
          <w:ilvl w:val="0"/>
          <w:numId w:val="256"/>
        </w:numPr>
        <w:ind w:left="0" w:hanging="0"/>
        <w:rPr>
          <w:color w:val="FFFFFF" w:themeColor="background1"/>
        </w:rPr>
      </w:pPr>
      <w:r>
        <w:rPr/>
        <w:t>CLÁUSULA DÉCIMA SEXTA – ALTERAÇÕES</w:t>
      </w:r>
    </w:p>
    <w:p>
      <w:pPr>
        <w:pStyle w:val="Nivel2"/>
        <w:numPr>
          <w:ilvl w:val="1"/>
          <w:numId w:val="257"/>
        </w:numPr>
        <w:ind w:left="0" w:hanging="0"/>
        <w:rPr/>
      </w:pPr>
      <w:r>
        <w:rPr/>
        <w:t xml:space="preserve">Eventuais alterações contratuais reger-se-ão pela disciplina dos </w:t>
      </w:r>
      <w:r>
        <w:fldChar w:fldCharType="begin"/>
      </w:r>
      <w:r>
        <w:rPr>
          <w:rStyle w:val="LinkdaInternet"/>
        </w:rPr>
        <w:instrText xml:space="preserve"> HYPERLINK "http://www.planalto.gov.br/ccivil_03/_ato2019-2022/2021/lei/L14133.htm" \l "art124"</w:instrText>
      </w:r>
      <w:r>
        <w:rPr>
          <w:rStyle w:val="LinkdaInternet"/>
        </w:rPr>
        <w:fldChar w:fldCharType="separate"/>
      </w:r>
      <w:r>
        <w:rPr>
          <w:rStyle w:val="LinkdaInternet"/>
        </w:rPr>
        <w:t>arts. 124 e seguintes da Lei nº 14.133, de 2021</w:t>
      </w:r>
      <w:r>
        <w:rPr>
          <w:rStyle w:val="LinkdaInternet"/>
        </w:rPr>
        <w:fldChar w:fldCharType="end"/>
      </w:r>
      <w:r>
        <w:rPr/>
        <w:t>.</w:t>
      </w:r>
    </w:p>
    <w:p>
      <w:pPr>
        <w:pStyle w:val="Nivel2"/>
        <w:numPr>
          <w:ilvl w:val="1"/>
          <w:numId w:val="258"/>
        </w:numPr>
        <w:ind w:left="0" w:hanging="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59"/>
        </w:numPr>
        <w:ind w:left="0" w:hanging="0"/>
        <w:rPr>
          <w:highlight w:val="none"/>
          <w:shd w:fill="auto" w:val="clear"/>
        </w:rPr>
      </w:pPr>
      <w:r>
        <w:rPr>
          <w:shd w:fill="auto" w:val="clea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260"/>
        </w:numPr>
        <w:ind w:left="0" w:hanging="0"/>
        <w:rPr/>
      </w:pPr>
      <w:r>
        <w:rPr/>
        <w:t xml:space="preserve">Registros que não caracterizam alteração do contrato podem ser realizados por simples apostila, dispensada a celebração de termo aditivo, na forma do </w:t>
      </w:r>
      <w:r>
        <w:fldChar w:fldCharType="begin"/>
      </w:r>
      <w:r>
        <w:rPr>
          <w:rStyle w:val="LinkdaInternet"/>
        </w:rPr>
        <w:instrText xml:space="preserve"> HYPERLINK "http://www.planalto.gov.br/ccivil_03/_ato2019-2022/2021/lei/L14133.htm" \l "art136"</w:instrText>
      </w:r>
      <w:r>
        <w:rPr>
          <w:rStyle w:val="LinkdaInternet"/>
        </w:rPr>
        <w:fldChar w:fldCharType="separate"/>
      </w:r>
      <w:r>
        <w:rPr>
          <w:rStyle w:val="LinkdaInternet"/>
        </w:rPr>
        <w:t>art. 136 da Lei nº 14.133, de 2021</w:t>
      </w:r>
      <w:r>
        <w:rPr>
          <w:rStyle w:val="LinkdaInternet"/>
        </w:rPr>
        <w:fldChar w:fldCharType="end"/>
      </w:r>
      <w:r>
        <w:rPr/>
        <w:t>.</w:t>
      </w:r>
    </w:p>
    <w:p>
      <w:pPr>
        <w:pStyle w:val="Nivel01"/>
        <w:numPr>
          <w:ilvl w:val="0"/>
          <w:numId w:val="261"/>
        </w:numPr>
        <w:ind w:left="0" w:hanging="0"/>
        <w:rPr>
          <w:color w:val="FFFFFF" w:themeColor="background1"/>
        </w:rPr>
      </w:pPr>
      <w:r>
        <w:rPr/>
        <w:t>CLÁUSULA DÉCIMA SÉTIMA – PUBLICAÇÃO</w:t>
      </w:r>
    </w:p>
    <w:p>
      <w:pPr>
        <w:pStyle w:val="Nivel2"/>
        <w:numPr>
          <w:ilvl w:val="1"/>
          <w:numId w:val="262"/>
        </w:numPr>
        <w:ind w:left="0" w:hanging="0"/>
        <w:rPr/>
      </w:pPr>
      <w:r>
        <w:rPr/>
        <w:t xml:space="preserve">Incumbirá ao contratante divulgar o presente instrumento no Portal Nacional de Contratações Públicas (PNCP), na forma prevista no </w:t>
      </w:r>
      <w:r>
        <w:fldChar w:fldCharType="begin"/>
      </w:r>
      <w:r>
        <w:rPr>
          <w:rStyle w:val="LinkdaInternet"/>
        </w:rPr>
        <w:instrText xml:space="preserve"> HYPERLINK "http://www.planalto.gov.br/ccivil_03/_ato2019-2022/2021/lei/L14133.htm" \l "art94"</w:instrText>
      </w:r>
      <w:r>
        <w:rPr>
          <w:rStyle w:val="LinkdaInternet"/>
        </w:rPr>
        <w:fldChar w:fldCharType="separate"/>
      </w:r>
      <w:r>
        <w:rPr>
          <w:rStyle w:val="LinkdaInternet"/>
        </w:rPr>
        <w:t>art. 94 da Lei 14.133, de 2021</w:t>
      </w:r>
      <w:r>
        <w:rPr>
          <w:rStyle w:val="LinkdaInternet"/>
        </w:rPr>
        <w:fldChar w:fldCharType="end"/>
      </w:r>
      <w:r>
        <w:rPr/>
        <w:t xml:space="preserve">, bem como no respectivo sítio oficial na Internet, em atenção ao </w:t>
      </w:r>
      <w:r>
        <w:rPr>
          <w:shd w:fill="auto" w:val="clear"/>
        </w:rPr>
        <w:t xml:space="preserve">art. 91, </w:t>
      </w:r>
      <w:r>
        <w:rPr>
          <w:i/>
          <w:iCs/>
          <w:shd w:fill="auto" w:val="clear"/>
        </w:rPr>
        <w:t>caput,</w:t>
      </w:r>
      <w:r>
        <w:rPr>
          <w:shd w:fill="auto" w:val="clear"/>
        </w:rPr>
        <w:t xml:space="preserve"> da Lei n.º 14.133, de 2021, </w:t>
      </w:r>
      <w:r>
        <w:rPr/>
        <w:t xml:space="preserve">e ao </w:t>
      </w:r>
      <w:r>
        <w:fldChar w:fldCharType="begin"/>
      </w:r>
      <w:r>
        <w:rPr>
          <w:rStyle w:val="LinkdaInternet"/>
        </w:rPr>
        <w:instrText xml:space="preserve"> HYPERLINK "https://www.planalto.gov.br/ccivil_03/_ato2011-2014/2011/lei/l12527.htm" \l "art8§2"</w:instrText>
      </w:r>
      <w:r>
        <w:rPr>
          <w:rStyle w:val="LinkdaInternet"/>
        </w:rPr>
        <w:fldChar w:fldCharType="separate"/>
      </w:r>
      <w:r>
        <w:rPr>
          <w:rStyle w:val="LinkdaInternet"/>
        </w:rPr>
        <w:t>art. 8º, §2º, da Lei n. 12.527, de 2011</w:t>
      </w:r>
      <w:r>
        <w:rPr>
          <w:rStyle w:val="LinkdaInternet"/>
        </w:rPr>
        <w:fldChar w:fldCharType="end"/>
      </w:r>
      <w:r>
        <w:rPr/>
        <w:t xml:space="preserve">, c/c </w:t>
      </w:r>
      <w:r>
        <w:fldChar w:fldCharType="begin"/>
      </w:r>
      <w:r>
        <w:rPr>
          <w:rStyle w:val="LinkdaInternet"/>
        </w:rPr>
        <w:instrText xml:space="preserve"> HYPERLINK "https://www.planalto.gov.br/ccivil_03/_ato2011-2014/2012/decreto/d7724.htm" \l "art7§3"</w:instrText>
      </w:r>
      <w:r>
        <w:rPr>
          <w:rStyle w:val="LinkdaInternet"/>
        </w:rPr>
        <w:fldChar w:fldCharType="separate"/>
      </w:r>
      <w:r>
        <w:rPr>
          <w:rStyle w:val="LinkdaInternet"/>
        </w:rPr>
        <w:t>art. 7º, §3º, inciso V, do Decreto n. 7.724, de 2012.</w:t>
      </w:r>
      <w:r>
        <w:rPr>
          <w:rStyle w:val="LinkdaInternet"/>
        </w:rPr>
        <w:fldChar w:fldCharType="end"/>
      </w:r>
      <w:r>
        <w:rPr/>
        <w:t xml:space="preserve"> </w:t>
      </w:r>
    </w:p>
    <w:p>
      <w:pPr>
        <w:pStyle w:val="Nivel01"/>
        <w:numPr>
          <w:ilvl w:val="0"/>
          <w:numId w:val="263"/>
        </w:numPr>
        <w:ind w:left="0" w:hanging="0"/>
        <w:rPr>
          <w:color w:val="FFFFFF" w:themeColor="background1"/>
        </w:rPr>
      </w:pPr>
      <w:r>
        <w:rPr/>
        <w:t>CLÁUSULA DÉCIMA OITAVA– FORO (</w:t>
      </w:r>
      <w:r>
        <w:fldChar w:fldCharType="begin"/>
      </w:r>
      <w:r>
        <w:rPr>
          <w:rStyle w:val="LinkdaInternet"/>
        </w:rPr>
        <w:instrText xml:space="preserve"> HYPERLINK "http://www.planalto.gov.br/ccivil_03/_ato2019-2022/2021/lei/L14133.htm" \l "art92§1"</w:instrText>
      </w:r>
      <w:r>
        <w:rPr>
          <w:rStyle w:val="LinkdaInternet"/>
        </w:rPr>
        <w:fldChar w:fldCharType="separate"/>
      </w:r>
      <w:r>
        <w:rPr>
          <w:rStyle w:val="LinkdaInternet"/>
        </w:rPr>
        <w:t>art. 92, §1º</w:t>
      </w:r>
      <w:r>
        <w:rPr>
          <w:rStyle w:val="LinkdaInternet"/>
        </w:rPr>
        <w:fldChar w:fldCharType="end"/>
      </w:r>
      <w:r>
        <w:rPr/>
        <w:t>)</w:t>
      </w:r>
    </w:p>
    <w:p>
      <w:pPr>
        <w:pStyle w:val="Nivel2"/>
        <w:numPr>
          <w:ilvl w:val="1"/>
          <w:numId w:val="264"/>
        </w:numPr>
        <w:ind w:left="0" w:hanging="0"/>
        <w:rPr/>
      </w:pPr>
      <w:r>
        <w:rPr/>
        <w:t xml:space="preserve">Fica eleito o Foro da Justiça Federal em </w:t>
      </w:r>
      <w:r>
        <w:rPr>
          <w:color w:val="FF0000"/>
        </w:rPr>
        <w:t>......</w:t>
      </w:r>
      <w:r>
        <w:rPr/>
        <w:t xml:space="preserve">, Seção Judiciária de </w:t>
      </w:r>
      <w:r>
        <w:rPr>
          <w:color w:val="FF0000"/>
        </w:rPr>
        <w:t>......</w:t>
      </w:r>
      <w:r>
        <w:rPr/>
        <w:t xml:space="preserve"> para dirimir os litígios que decorrerem da execução deste Termo de Contrato que não puderem ser compostos pela conciliação, conforme </w:t>
      </w:r>
      <w:r>
        <w:fldChar w:fldCharType="begin"/>
      </w:r>
      <w:r>
        <w:rPr>
          <w:rStyle w:val="LinkdaInternet"/>
        </w:rPr>
        <w:instrText xml:space="preserve"> HYPERLINK "http://www.planalto.gov.br/ccivil_03/_ato2019-2022/2021/lei/L14133.htm" \l "art92§1"</w:instrText>
      </w:r>
      <w:r>
        <w:rPr>
          <w:rStyle w:val="LinkdaInternet"/>
        </w:rPr>
        <w:fldChar w:fldCharType="separate"/>
      </w:r>
      <w:r>
        <w:rPr>
          <w:rStyle w:val="LinkdaInternet"/>
        </w:rPr>
        <w:t>art. 92, §1º, da Lei nº 14.133/21.</w:t>
      </w:r>
      <w:r>
        <w:rPr>
          <w:rStyle w:val="LinkdaInternet"/>
        </w:rPr>
        <w:fldChar w:fldCharType="end"/>
      </w:r>
    </w:p>
    <w:p>
      <w:pPr>
        <w:pStyle w:val="Nivel2"/>
        <w:numPr>
          <w:ilvl w:val="0"/>
          <w:numId w:val="0"/>
        </w:numPr>
        <w:spacing w:lineRule="auto" w:line="312" w:before="120" w:after="288"/>
        <w:ind w:left="0" w:firstLine="709"/>
        <w:rPr>
          <w:i/>
          <w:i/>
          <w:iCs/>
          <w:color w:val="FF0000"/>
        </w:rPr>
      </w:pPr>
      <w:r>
        <w:rPr>
          <w:i/>
          <w:iCs/>
          <w:color w:val="FF0000"/>
        </w:rPr>
      </w:r>
    </w:p>
    <w:p>
      <w:pPr>
        <w:pStyle w:val="Nivel2"/>
        <w:numPr>
          <w:ilvl w:val="0"/>
          <w:numId w:val="0"/>
        </w:numPr>
        <w:spacing w:lineRule="auto" w:line="312" w:before="120" w:after="288"/>
        <w:ind w:left="0" w:firstLine="709"/>
        <w:rPr>
          <w:i/>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709"/>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709"/>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709"/>
        <w:jc w:val="both"/>
        <w:rPr>
          <w:color w:val="000000"/>
        </w:rPr>
      </w:pPr>
      <w:r>
        <w:rPr>
          <w:rFonts w:cs="Arial" w:ascii="Arial" w:hAnsi="Arial"/>
          <w:i/>
          <w:iCs/>
          <w:color w:val="000000"/>
          <w:sz w:val="20"/>
          <w:szCs w:val="20"/>
        </w:rPr>
        <w:t>TESTEMUNHAS:</w:t>
      </w:r>
    </w:p>
    <w:p>
      <w:pPr>
        <w:pStyle w:val="Normal"/>
        <w:spacing w:lineRule="auto" w:line="312" w:before="120" w:after="288"/>
        <w:ind w:firstLine="709"/>
        <w:rPr>
          <w:color w:val="000000"/>
        </w:rPr>
      </w:pPr>
      <w:r>
        <w:rPr>
          <w:rFonts w:cs="Arial" w:ascii="Arial" w:hAnsi="Arial"/>
          <w:i/>
          <w:iCs/>
          <w:color w:val="000000"/>
          <w:sz w:val="20"/>
          <w:szCs w:val="20"/>
        </w:rPr>
        <w:t>1-</w:t>
      </w:r>
    </w:p>
    <w:p>
      <w:pPr>
        <w:pStyle w:val="Normal"/>
        <w:spacing w:lineRule="auto" w:line="312" w:before="120" w:after="288"/>
        <w:ind w:firstLine="709"/>
        <w:rPr>
          <w:color w:val="000000"/>
        </w:rPr>
      </w:pPr>
      <w:r>
        <w:rPr>
          <w:rFonts w:cs="Arial" w:ascii="Arial" w:hAnsi="Arial"/>
          <w:i/>
          <w:iCs/>
          <w:color w:val="000000"/>
          <w:sz w:val="20"/>
          <w:szCs w:val="20"/>
        </w:rPr>
        <w:t xml:space="preserve">2- </w:t>
      </w:r>
    </w:p>
    <w:sectPr>
      <w:headerReference w:type="default" r:id="rId12"/>
      <w:footerReference w:type="default" r:id="rId13"/>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6509344"/>
    </w:sdtPr>
    <w:sdtContent>
      <w:p>
        <w:pPr>
          <w:pStyle w:val="Rodap"/>
          <w:rPr>
            <w:rFonts w:ascii="Arial" w:hAnsi="Arial" w:cs="Arial"/>
            <w:color w:val="548DD4" w:themeColor="text2" w:themeTint="99"/>
            <w:spacing w:val="60"/>
            <w:sz w:val="16"/>
            <w:szCs w:val="16"/>
          </w:rPr>
        </w:pPr>
        <w:r>
          <w:rPr>
            <w:rFonts w:cs="Arial" w:ascii="Arial" w:hAnsi="Arial"/>
            <w:color w:val="548DD4" w:themeColor="text2" w:themeTint="99"/>
            <w:spacing w:val="60"/>
            <w:sz w:val="22"/>
            <w:szCs w:val="22"/>
          </w:rPr>
          <w:tab/>
          <w:tab/>
        </w:r>
      </w:p>
      <w:p>
        <w:pPr>
          <w:pStyle w:val="Rodap"/>
          <w:rPr>
            <w:rFonts w:ascii="Arial" w:hAnsi="Arial" w:cs="Arial"/>
            <w:color w:val="7F7F7F" w:themeColor="text1" w:themeTint="80"/>
            <w:sz w:val="18"/>
            <w:szCs w:val="18"/>
          </w:rPr>
        </w:pPr>
        <w:r>
          <w:rPr>
            <w:rFonts w:cs="Arial" w:ascii="Arial" w:hAnsi="Arial"/>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11</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11</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rPr>
        </w:pPr>
        <w:r>
          <w:rPr>
            <w:rFonts w:cs="Arial" w:ascii="Arial" w:hAnsi="Arial"/>
            <w:sz w:val="14"/>
            <w:szCs w:val="14"/>
          </w:rPr>
          <w:t>Identidade visual pela Secretaria de Gestão e Inovação</w:t>
        </w:r>
      </w:p>
    </w:sdtContent>
  </w:sdt>
  <w:p>
    <w:pPr>
      <w:pStyle w:val="Rodap"/>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3828" w:type="dxa"/>
      <w:tblLayout w:type="fixed"/>
      <w:tblCellMar>
        <w:top w:w="0" w:type="dxa"/>
        <w:left w:w="108" w:type="dxa"/>
        <w:bottom w:w="0" w:type="dxa"/>
        <w:right w:w="108" w:type="dxa"/>
      </w:tblCellMar>
      <w:tblLook w:firstRow="1" w:noVBand="1" w:lastRow="0" w:firstColumn="1" w:lastColumn="0" w:noHBand="1" w:val="06a0"/>
    </w:tblPr>
    <w:tblGrid>
      <w:gridCol w:w="9071"/>
      <w:gridCol w:w="3021"/>
      <w:gridCol w:w="3020"/>
    </w:tblGrid>
    <w:tr>
      <w:trPr>
        <w:trHeight w:val="300" w:hRule="atLeast"/>
      </w:trPr>
      <w:tc>
        <w:tcPr>
          <w:tcW w:w="9071" w:type="dxa"/>
          <w:tcBorders/>
        </w:tcPr>
        <w:p>
          <w:pPr>
            <w:pStyle w:val="Cabealho"/>
            <w:widowControl w:val="false"/>
            <w:ind w:left="-115" w:hanging="0"/>
            <w:rPr>
              <w:rFonts w:ascii="Arial" w:hAnsi="Arial" w:cs="Arial"/>
              <w:sz w:val="20"/>
              <w:szCs w:val="20"/>
            </w:rPr>
          </w:pPr>
          <w:r>
            <w:rPr>
              <w:rFonts w:cs="Arial" w:ascii="Arial" w:hAnsi="Arial"/>
              <w:color w:val="C9211E"/>
              <w:sz w:val="20"/>
              <w:szCs w:val="20"/>
            </w:rPr>
            <w:t xml:space="preserve">(MINUTA) </w:t>
          </w:r>
          <w:r>
            <w:rPr>
              <w:rFonts w:cs="Arial" w:ascii="Arial" w:hAnsi="Arial"/>
              <w:sz w:val="20"/>
              <w:szCs w:val="20"/>
            </w:rPr>
            <w:t>TERMO DE CONTRATO ADMINISTRATIVO Nº XXXX/XXXX</w:t>
          </w:r>
        </w:p>
        <w:p>
          <w:pPr>
            <w:pStyle w:val="Cabealho"/>
            <w:widowControl w:val="false"/>
            <w:ind w:left="-115" w:hanging="0"/>
            <w:rPr/>
          </w:pPr>
          <w:r>
            <w:rPr/>
          </w:r>
        </w:p>
      </w:tc>
      <w:tc>
        <w:tcPr>
          <w:tcW w:w="3021" w:type="dxa"/>
          <w:tcBorders/>
        </w:tcPr>
        <w:p>
          <w:pPr>
            <w:pStyle w:val="Cabealho"/>
            <w:widowControl w:val="false"/>
            <w:jc w:val="center"/>
            <w:rPr/>
          </w:pPr>
          <w:r>
            <w:rPr/>
          </w:r>
        </w:p>
      </w:tc>
      <w:tc>
        <w:tcPr>
          <w:tcW w:w="3020" w:type="dxa"/>
          <w:tcBorders/>
        </w:tcPr>
        <w:p>
          <w:pPr>
            <w:pStyle w:val="Cabealho"/>
            <w:widowControl w:val="false"/>
            <w:ind w:right="-115" w:hanging="0"/>
            <w:jc w:val="right"/>
            <w:rPr/>
          </w:pPr>
          <w:r>
            <w:rPr/>
          </w:r>
        </w:p>
      </w:tc>
    </w:tr>
  </w:tbl>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lowerLetter"/>
      <w:lvlText w:val="%1)"/>
      <w:lvlJc w:val="left"/>
      <w:pPr>
        <w:tabs>
          <w:tab w:val="num" w:pos="0"/>
        </w:tabs>
        <w:ind w:left="1436" w:hanging="360"/>
      </w:pPr>
      <w:rPr/>
    </w:lvl>
    <w:lvl w:ilvl="1">
      <w:start w:val="1"/>
      <w:numFmt w:val="lowerLetter"/>
      <w:lvlText w:val="%2."/>
      <w:lvlJc w:val="left"/>
      <w:pPr>
        <w:tabs>
          <w:tab w:val="num" w:pos="0"/>
        </w:tabs>
        <w:ind w:left="2156" w:hanging="360"/>
      </w:pPr>
      <w:rPr/>
    </w:lvl>
    <w:lvl w:ilvl="2">
      <w:start w:val="1"/>
      <w:numFmt w:val="lowerRoman"/>
      <w:lvlText w:val="%3."/>
      <w:lvlJc w:val="right"/>
      <w:pPr>
        <w:tabs>
          <w:tab w:val="num" w:pos="0"/>
        </w:tabs>
        <w:ind w:left="2876" w:hanging="180"/>
      </w:pPr>
      <w:rPr/>
    </w:lvl>
    <w:lvl w:ilvl="3">
      <w:start w:val="1"/>
      <w:numFmt w:val="decimal"/>
      <w:lvlText w:val="%4."/>
      <w:lvlJc w:val="left"/>
      <w:pPr>
        <w:tabs>
          <w:tab w:val="num" w:pos="0"/>
        </w:tabs>
        <w:ind w:left="3596" w:hanging="360"/>
      </w:pPr>
      <w:rPr/>
    </w:lvl>
    <w:lvl w:ilvl="4">
      <w:start w:val="1"/>
      <w:numFmt w:val="lowerLetter"/>
      <w:lvlText w:val="%5."/>
      <w:lvlJc w:val="left"/>
      <w:pPr>
        <w:tabs>
          <w:tab w:val="num" w:pos="0"/>
        </w:tabs>
        <w:ind w:left="4316" w:hanging="360"/>
      </w:pPr>
      <w:rPr/>
    </w:lvl>
    <w:lvl w:ilvl="5">
      <w:start w:val="1"/>
      <w:numFmt w:val="lowerRoman"/>
      <w:lvlText w:val="%6."/>
      <w:lvlJc w:val="right"/>
      <w:pPr>
        <w:tabs>
          <w:tab w:val="num" w:pos="0"/>
        </w:tabs>
        <w:ind w:left="5036" w:hanging="180"/>
      </w:pPr>
      <w:rPr/>
    </w:lvl>
    <w:lvl w:ilvl="6">
      <w:start w:val="1"/>
      <w:numFmt w:val="decimal"/>
      <w:lvlText w:val="%7."/>
      <w:lvlJc w:val="left"/>
      <w:pPr>
        <w:tabs>
          <w:tab w:val="num" w:pos="0"/>
        </w:tabs>
        <w:ind w:left="5756" w:hanging="360"/>
      </w:pPr>
      <w:rPr/>
    </w:lvl>
    <w:lvl w:ilvl="7">
      <w:start w:val="1"/>
      <w:numFmt w:val="lowerLetter"/>
      <w:lvlText w:val="%8."/>
      <w:lvlJc w:val="left"/>
      <w:pPr>
        <w:tabs>
          <w:tab w:val="num" w:pos="0"/>
        </w:tabs>
        <w:ind w:left="6476" w:hanging="360"/>
      </w:pPr>
      <w:rPr/>
    </w:lvl>
    <w:lvl w:ilvl="8">
      <w:start w:val="1"/>
      <w:numFmt w:val="lowerRoman"/>
      <w:lvlText w:val="%9."/>
      <w:lvlJc w:val="right"/>
      <w:pPr>
        <w:tabs>
          <w:tab w:val="num" w:pos="0"/>
        </w:tabs>
        <w:ind w:left="7196" w:hanging="180"/>
      </w:pPr>
      <w:rPr/>
    </w:lvl>
  </w:abstractNum>
  <w:abstractNum w:abstractNumId="4">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360" w:hanging="360"/>
      </w:pPr>
      <w:rPr>
        <w:i w:val="false"/>
        <w:b/>
      </w:rPr>
    </w:lvl>
    <w:lvl w:ilvl="1">
      <w:start w:val="1"/>
      <w:numFmt w:val="upperRoman"/>
      <w:lvlText w:val="%2."/>
      <w:lvlJc w:val="right"/>
      <w:pPr>
        <w:tabs>
          <w:tab w:val="num" w:pos="0"/>
        </w:tabs>
        <w:ind w:left="360" w:hanging="360"/>
      </w:pPr>
      <w:r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6">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Roman"/>
      <w:lvlText w:val="%3)"/>
      <w:lvlJc w:val="left"/>
      <w:pPr>
        <w:tabs>
          <w:tab w:val="num" w:pos="0"/>
        </w:tabs>
        <w:ind w:left="1080" w:hanging="360"/>
      </w:pPr>
      <w:r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rPr/>
    </w:lvl>
    <w:lvl w:ilvl="5">
      <w:start w:val="1"/>
      <w:numFmt w:val="lowerRoman"/>
      <w:lvlText w:val="(%6)"/>
      <w:lvlJc w:val="left"/>
      <w:pPr>
        <w:tabs>
          <w:tab w:val="num" w:pos="0"/>
        </w:tabs>
        <w:ind w:left="2160" w:hanging="360"/>
      </w:pPr>
      <w:rPr/>
    </w:lvl>
    <w:lvl w:ilvl="6">
      <w:start w:val="1"/>
      <w:numFmt w:val="decimal"/>
      <w:lvlText w:val="%7."/>
      <w:lvlJc w:val="left"/>
      <w:pPr>
        <w:tabs>
          <w:tab w:val="num" w:pos="0"/>
        </w:tabs>
        <w:ind w:left="2520" w:hanging="360"/>
      </w:pPr>
      <w:rPr/>
    </w:lvl>
    <w:lvl w:ilvl="7">
      <w:start w:val="1"/>
      <w:numFmt w:val="lowerLetter"/>
      <w:lvlText w:val="%8."/>
      <w:lvlJc w:val="left"/>
      <w:pPr>
        <w:tabs>
          <w:tab w:val="num" w:pos="0"/>
        </w:tabs>
        <w:ind w:left="2880" w:hanging="360"/>
      </w:pPr>
      <w:rPr/>
    </w:lvl>
    <w:lvl w:ilvl="8">
      <w:start w:val="1"/>
      <w:numFmt w:val="lowerRoman"/>
      <w:lvlText w:val="%9."/>
      <w:lvlJc w:val="left"/>
      <w:pPr>
        <w:tabs>
          <w:tab w:val="num" w:pos="0"/>
        </w:tabs>
        <w:ind w:left="3240" w:hanging="36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8"/>
    <w:lvlOverride w:ilvl="0">
      <w:startOverride w:val="1"/>
    </w:lvlOverride>
  </w:num>
  <w:num w:numId="138">
    <w:abstractNumId w:val="8"/>
    <w:lvlOverride w:ilvl="0">
      <w:startOverride w:val="1"/>
    </w:lvlOverride>
    <w:lvlOverride w:ilvl="1">
      <w:startOverride w:val="1"/>
    </w:lvlOverride>
  </w:num>
  <w:num w:numId="139">
    <w:abstractNumId w:val="8"/>
  </w:num>
  <w:num w:numId="140">
    <w:abstractNumId w:val="8"/>
  </w:num>
  <w:num w:numId="141">
    <w:abstractNumId w:val="8"/>
  </w:num>
  <w:num w:numId="142">
    <w:abstractNumId w:val="8"/>
  </w:num>
  <w:num w:numId="143">
    <w:abstractNumId w:val="8"/>
  </w:num>
  <w:num w:numId="144">
    <w:abstractNumId w:val="8"/>
  </w:num>
  <w:num w:numId="145">
    <w:abstractNumId w:val="8"/>
  </w:num>
  <w:num w:numId="146">
    <w:abstractNumId w:val="8"/>
  </w:num>
  <w:num w:numId="147">
    <w:abstractNumId w:val="8"/>
  </w:num>
  <w:num w:numId="148">
    <w:abstractNumId w:val="8"/>
  </w:num>
  <w:num w:numId="149">
    <w:abstractNumId w:val="8"/>
  </w:num>
  <w:num w:numId="150">
    <w:abstractNumId w:val="8"/>
  </w:num>
  <w:num w:numId="151">
    <w:abstractNumId w:val="8"/>
  </w:num>
  <w:num w:numId="152">
    <w:abstractNumId w:val="8"/>
  </w:num>
  <w:num w:numId="153">
    <w:abstractNumId w:val="8"/>
  </w:num>
  <w:num w:numId="154">
    <w:abstractNumId w:val="8"/>
  </w:num>
  <w:num w:numId="155">
    <w:abstractNumId w:val="8"/>
  </w:num>
  <w:num w:numId="156">
    <w:abstractNumId w:val="8"/>
  </w:num>
  <w:num w:numId="157">
    <w:abstractNumId w:val="8"/>
  </w:num>
  <w:num w:numId="158">
    <w:abstractNumId w:val="8"/>
  </w:num>
  <w:num w:numId="159">
    <w:abstractNumId w:val="8"/>
  </w:num>
  <w:num w:numId="160">
    <w:abstractNumId w:val="8"/>
  </w:num>
  <w:num w:numId="161">
    <w:abstractNumId w:val="8"/>
  </w:num>
  <w:num w:numId="162">
    <w:abstractNumId w:val="8"/>
  </w:num>
  <w:num w:numId="163">
    <w:abstractNumId w:val="8"/>
  </w:num>
  <w:num w:numId="164">
    <w:abstractNumId w:val="8"/>
  </w:num>
  <w:num w:numId="165">
    <w:abstractNumId w:val="8"/>
  </w:num>
  <w:num w:numId="166">
    <w:abstractNumId w:val="8"/>
  </w:num>
  <w:num w:numId="167">
    <w:abstractNumId w:val="8"/>
  </w:num>
  <w:num w:numId="168">
    <w:abstractNumId w:val="8"/>
  </w:num>
  <w:num w:numId="169">
    <w:abstractNumId w:val="8"/>
  </w:num>
  <w:num w:numId="170">
    <w:abstractNumId w:val="8"/>
  </w:num>
  <w:num w:numId="171">
    <w:abstractNumId w:val="8"/>
  </w:num>
  <w:num w:numId="172">
    <w:abstractNumId w:val="8"/>
  </w:num>
  <w:num w:numId="173">
    <w:abstractNumId w:val="8"/>
  </w:num>
  <w:num w:numId="174">
    <w:abstractNumId w:val="8"/>
  </w:num>
  <w:num w:numId="175">
    <w:abstractNumId w:val="8"/>
  </w:num>
  <w:num w:numId="176">
    <w:abstractNumId w:val="8"/>
  </w:num>
  <w:num w:numId="177">
    <w:abstractNumId w:val="8"/>
  </w:num>
  <w:num w:numId="178">
    <w:abstractNumId w:val="8"/>
  </w:num>
  <w:num w:numId="179">
    <w:abstractNumId w:val="8"/>
  </w:num>
  <w:num w:numId="180">
    <w:abstractNumId w:val="8"/>
  </w:num>
  <w:num w:numId="181">
    <w:abstractNumId w:val="8"/>
  </w:num>
  <w:num w:numId="182">
    <w:abstractNumId w:val="8"/>
  </w:num>
  <w:num w:numId="183">
    <w:abstractNumId w:val="8"/>
  </w:num>
  <w:num w:numId="184">
    <w:abstractNumId w:val="8"/>
  </w:num>
  <w:num w:numId="185">
    <w:abstractNumId w:val="8"/>
  </w:num>
  <w:num w:numId="186">
    <w:abstractNumId w:val="8"/>
  </w:num>
  <w:num w:numId="187">
    <w:abstractNumId w:val="8"/>
  </w:num>
  <w:num w:numId="188">
    <w:abstractNumId w:val="8"/>
  </w:num>
  <w:num w:numId="189">
    <w:abstractNumId w:val="8"/>
  </w:num>
  <w:num w:numId="190">
    <w:abstractNumId w:val="8"/>
  </w:num>
  <w:num w:numId="191">
    <w:abstractNumId w:val="8"/>
  </w:num>
  <w:num w:numId="192">
    <w:abstractNumId w:val="8"/>
  </w:num>
  <w:num w:numId="193">
    <w:abstractNumId w:val="8"/>
  </w:num>
  <w:num w:numId="194">
    <w:abstractNumId w:val="8"/>
  </w:num>
  <w:num w:numId="195">
    <w:abstractNumId w:val="8"/>
  </w:num>
  <w:num w:numId="196">
    <w:abstractNumId w:val="8"/>
  </w:num>
  <w:num w:numId="197">
    <w:abstractNumId w:val="8"/>
  </w:num>
  <w:num w:numId="198">
    <w:abstractNumId w:val="8"/>
  </w:num>
  <w:num w:numId="199">
    <w:abstractNumId w:val="8"/>
  </w:num>
  <w:num w:numId="200">
    <w:abstractNumId w:val="8"/>
  </w:num>
  <w:num w:numId="201">
    <w:abstractNumId w:val="8"/>
  </w:num>
  <w:num w:numId="202">
    <w:abstractNumId w:val="8"/>
  </w:num>
  <w:num w:numId="203">
    <w:abstractNumId w:val="8"/>
  </w:num>
  <w:num w:numId="204">
    <w:abstractNumId w:val="8"/>
  </w:num>
  <w:num w:numId="205">
    <w:abstractNumId w:val="8"/>
  </w:num>
  <w:num w:numId="206">
    <w:abstractNumId w:val="8"/>
  </w:num>
  <w:num w:numId="207">
    <w:abstractNumId w:val="8"/>
  </w:num>
  <w:num w:numId="208">
    <w:abstractNumId w:val="8"/>
  </w:num>
  <w:num w:numId="209">
    <w:abstractNumId w:val="8"/>
  </w:num>
  <w:num w:numId="210">
    <w:abstractNumId w:val="8"/>
  </w:num>
  <w:num w:numId="211">
    <w:abstractNumId w:val="8"/>
  </w:num>
  <w:num w:numId="212">
    <w:abstractNumId w:val="8"/>
  </w:num>
  <w:num w:numId="213">
    <w:abstractNumId w:val="8"/>
  </w:num>
  <w:num w:numId="214">
    <w:abstractNumId w:val="8"/>
  </w:num>
  <w:num w:numId="215">
    <w:abstractNumId w:val="8"/>
  </w:num>
  <w:num w:numId="216">
    <w:abstractNumId w:val="8"/>
  </w:num>
  <w:num w:numId="217">
    <w:abstractNumId w:val="8"/>
  </w:num>
  <w:num w:numId="218">
    <w:abstractNumId w:val="8"/>
  </w:num>
  <w:num w:numId="219">
    <w:abstractNumId w:val="8"/>
  </w:num>
  <w:num w:numId="220">
    <w:abstractNumId w:val="8"/>
  </w:num>
  <w:num w:numId="221">
    <w:abstractNumId w:val="8"/>
  </w:num>
  <w:num w:numId="222">
    <w:abstractNumId w:val="8"/>
  </w:num>
  <w:num w:numId="223">
    <w:abstractNumId w:val="8"/>
  </w:num>
  <w:num w:numId="224">
    <w:abstractNumId w:val="8"/>
  </w:num>
  <w:num w:numId="225">
    <w:abstractNumId w:val="8"/>
  </w:num>
  <w:num w:numId="226">
    <w:abstractNumId w:val="8"/>
  </w:num>
  <w:num w:numId="227">
    <w:abstractNumId w:val="8"/>
  </w:num>
  <w:num w:numId="228">
    <w:abstractNumId w:val="8"/>
  </w:num>
  <w:num w:numId="229">
    <w:abstractNumId w:val="8"/>
  </w:num>
  <w:num w:numId="230">
    <w:abstractNumId w:val="8"/>
  </w:num>
  <w:num w:numId="231">
    <w:abstractNumId w:val="8"/>
  </w:num>
  <w:num w:numId="232">
    <w:abstractNumId w:val="8"/>
  </w:num>
  <w:num w:numId="233">
    <w:abstractNumId w:val="8"/>
  </w:num>
  <w:num w:numId="234">
    <w:abstractNumId w:val="8"/>
  </w:num>
  <w:num w:numId="235">
    <w:abstractNumId w:val="8"/>
  </w:num>
  <w:num w:numId="236">
    <w:abstractNumId w:val="8"/>
  </w:num>
  <w:num w:numId="237">
    <w:abstractNumId w:val="8"/>
  </w:num>
  <w:num w:numId="238">
    <w:abstractNumId w:val="8"/>
  </w:num>
  <w:num w:numId="239">
    <w:abstractNumId w:val="8"/>
  </w:num>
  <w:num w:numId="240">
    <w:abstractNumId w:val="8"/>
  </w:num>
  <w:num w:numId="241">
    <w:abstractNumId w:val="8"/>
  </w:num>
  <w:num w:numId="242">
    <w:abstractNumId w:val="8"/>
  </w:num>
  <w:num w:numId="243">
    <w:abstractNumId w:val="8"/>
  </w:num>
  <w:num w:numId="244">
    <w:abstractNumId w:val="8"/>
  </w:num>
  <w:num w:numId="245">
    <w:abstractNumId w:val="8"/>
  </w:num>
  <w:num w:numId="246">
    <w:abstractNumId w:val="8"/>
  </w:num>
  <w:num w:numId="247">
    <w:abstractNumId w:val="8"/>
  </w:num>
  <w:num w:numId="248">
    <w:abstractNumId w:val="8"/>
  </w:num>
  <w:num w:numId="249">
    <w:abstractNumId w:val="8"/>
  </w:num>
  <w:num w:numId="250">
    <w:abstractNumId w:val="8"/>
  </w:num>
  <w:num w:numId="251">
    <w:abstractNumId w:val="8"/>
  </w:num>
  <w:num w:numId="252">
    <w:abstractNumId w:val="8"/>
  </w:num>
  <w:num w:numId="253">
    <w:abstractNumId w:val="8"/>
  </w:num>
  <w:num w:numId="254">
    <w:abstractNumId w:val="8"/>
  </w:num>
  <w:num w:numId="255">
    <w:abstractNumId w:val="8"/>
  </w:num>
  <w:num w:numId="256">
    <w:abstractNumId w:val="8"/>
  </w:num>
  <w:num w:numId="257">
    <w:abstractNumId w:val="8"/>
  </w:num>
  <w:num w:numId="258">
    <w:abstractNumId w:val="8"/>
  </w:num>
  <w:num w:numId="259">
    <w:abstractNumId w:val="8"/>
  </w:num>
  <w:num w:numId="260">
    <w:abstractNumId w:val="8"/>
  </w:num>
  <w:num w:numId="261">
    <w:abstractNumId w:val="8"/>
  </w:num>
  <w:num w:numId="262">
    <w:abstractNumId w:val="8"/>
  </w:num>
  <w:num w:numId="263">
    <w:abstractNumId w:val="8"/>
  </w:num>
  <w:num w:numId="264">
    <w:abstractNumId w:val="8"/>
  </w:num>
</w:numbering>
</file>

<file path=word/settings.xml><?xml version="1.0" encoding="utf-8"?>
<w:settings xmlns:w="http://schemas.openxmlformats.org/wordprocessingml/2006/main">
  <w:zoom w:percent="15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1958d0"/>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1958d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1958d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1958d0"/>
    <w:rPr>
      <w:rFonts w:ascii="Arial" w:hAnsi="Arial" w:cs="Arial"/>
      <w:color w:val="000000"/>
      <w:lang w:eastAsia="pt-BR"/>
    </w:rPr>
  </w:style>
  <w:style w:type="character" w:styleId="Nvel3-RChar" w:customStyle="1">
    <w:name w:val="Nível 3-R Char"/>
    <w:basedOn w:val="Nivel3Char"/>
    <w:link w:val="Nvel3-R"/>
    <w:qFormat/>
    <w:rsid w:val="001958d0"/>
    <w:rPr>
      <w:rFonts w:ascii="Arial" w:hAnsi="Arial" w:cs="Arial"/>
      <w:i/>
      <w:iCs/>
      <w:color w:val="FF0000"/>
      <w:lang w:eastAsia="pt-BR"/>
    </w:rPr>
  </w:style>
  <w:style w:type="character" w:styleId="Nvel4-RChar" w:customStyle="1">
    <w:name w:val="Nível 4-R Char"/>
    <w:basedOn w:val="Nivel4Char"/>
    <w:link w:val="Nvel4-R"/>
    <w:qFormat/>
    <w:rsid w:val="00031dbe"/>
    <w:rPr>
      <w:rFonts w:ascii="Arial" w:hAnsi="Arial" w:cs="Arial"/>
      <w:i/>
      <w:iCs/>
      <w:color w:val="FF0000"/>
      <w:lang w:eastAsia="pt-BR"/>
    </w:rPr>
  </w:style>
  <w:style w:type="character" w:styleId="Nvel1-SemNumChar" w:customStyle="1">
    <w:name w:val="Nível 1-Sem Num Char"/>
    <w:basedOn w:val="Nivel01Char"/>
    <w:link w:val="Nvel1-SemNum"/>
    <w:qFormat/>
    <w:rsid w:val="00e7273b"/>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UnresolvedMention1" w:customStyle="1">
    <w:name w:val="Unresolved Mention1"/>
    <w:basedOn w:val="DefaultParagraphFont"/>
    <w:uiPriority w:val="99"/>
    <w:semiHidden/>
    <w:unhideWhenUsed/>
    <w:qFormat/>
    <w:rsid w:val="00824eb5"/>
    <w:rPr>
      <w:color w:val="605E5C"/>
      <w:shd w:fill="E1DFDD" w:val="clear"/>
    </w:rPr>
  </w:style>
  <w:style w:type="character" w:styleId="UnresolvedMention">
    <w:name w:val="Unresolved Mention"/>
    <w:basedOn w:val="DefaultParagraphFont"/>
    <w:uiPriority w:val="99"/>
    <w:semiHidden/>
    <w:unhideWhenUsed/>
    <w:qFormat/>
    <w:rsid w:val="004d7421"/>
    <w:rPr>
      <w:color w:val="605E5C"/>
      <w:shd w:fill="E1DFDD" w:val="clear"/>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1958d0"/>
    <w:pPr>
      <w:numPr>
        <w:ilvl w:val="0"/>
        <w:numId w:val="1"/>
      </w:numPr>
      <w:tabs>
        <w:tab w:val="clear" w:pos="708"/>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1958d0"/>
    <w:pPr>
      <w:numPr>
        <w:ilvl w:val="1"/>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1958d0"/>
    <w:pPr>
      <w:numPr>
        <w:ilvl w:val="2"/>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1958d0"/>
    <w:pPr>
      <w:ind w:left="567" w:hanging="0"/>
    </w:pPr>
    <w:rPr>
      <w:color w:val="auto"/>
    </w:rPr>
  </w:style>
  <w:style w:type="paragraph" w:styleId="Nivel5" w:customStyle="1">
    <w:name w:val="Nivel 5"/>
    <w:basedOn w:val="Nivel4"/>
    <w:qFormat/>
    <w:rsid w:val="001958d0"/>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1958d0"/>
    <w:pPr/>
    <w:rPr>
      <w:i/>
      <w:iCs/>
      <w:color w:val="FF0000"/>
    </w:rPr>
  </w:style>
  <w:style w:type="paragraph" w:styleId="Nvel4-R" w:customStyle="1">
    <w:name w:val="Nível 4-R"/>
    <w:basedOn w:val="Nivel4"/>
    <w:link w:val="Nvel4-RChar"/>
    <w:qFormat/>
    <w:rsid w:val="00031dbe"/>
    <w:pPr>
      <w:ind w:left="2491" w:hanging="648"/>
    </w:pPr>
    <w:rPr>
      <w:i/>
      <w:iCs/>
      <w:color w:val="FF0000"/>
    </w:rPr>
  </w:style>
  <w:style w:type="paragraph" w:styleId="Nvel1-SemNum" w:customStyle="1">
    <w:name w:val="Nível 1-Sem Num"/>
    <w:basedOn w:val="Nivel01"/>
    <w:link w:val="Nvel1-SemNumChar"/>
    <w:qFormat/>
    <w:rsid w:val="00e7273b"/>
    <w:pPr>
      <w:numPr>
        <w:ilvl w:val="0"/>
        <w:numId w:val="0"/>
      </w:numPr>
      <w:ind w:left="357" w:hanging="0"/>
      <w:outlineLvl w:val="1"/>
    </w:pPr>
    <w:rPr>
      <w:color w:val="FF0000"/>
    </w:rPr>
  </w:style>
  <w:style w:type="paragraph" w:styleId="Citao2" w:customStyle="1">
    <w:name w:val="citação 2"/>
    <w:basedOn w:val="Quote"/>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Contedodatabela">
    <w:name w:val="Conteúdo da tabela"/>
    <w:basedOn w:val="Standard"/>
    <w:qFormat/>
    <w:pPr>
      <w:suppressLineNumbers/>
      <w:spacing w:lineRule="auto" w:line="240"/>
    </w:pPr>
    <w:rPr>
      <w:rFonts w:ascii="Times New Roman" w:hAnsi="Times New Roman" w:eastAsia="Times New Roman" w:cs="Times New Roman"/>
      <w:sz w:val="20"/>
      <w:szCs w:val="20"/>
      <w:lang w:eastAsia="zh-CN"/>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planalto.gov.br/ccivil_03/leis/l8078compilado.htm" TargetMode="External"/><Relationship Id="rId4" Type="http://schemas.openxmlformats.org/officeDocument/2006/relationships/hyperlink" Target="https://www.planalto.gov.br/ccivil_03/_ato2015-2018/2018/lei/l13709.htm" TargetMode="External"/><Relationship Id="rId5" Type="http://schemas.openxmlformats.org/officeDocument/2006/relationships/hyperlink" Target="https://www.planalto.gov.br/ccivil_03/_ato2015-2018/2018/lei/l13709.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_ato2011-2014/2013/lei/l12846.htm"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A8B92-2BE6-45F4-A7F5-0490ECFE5E01}"/>
</file>

<file path=customXml/itemProps2.xml><?xml version="1.0" encoding="utf-8"?>
<ds:datastoreItem xmlns:ds="http://schemas.openxmlformats.org/officeDocument/2006/customXml" ds:itemID="{692018DD-CD91-4DB8-9297-B61715C85DC2}"/>
</file>

<file path=customXml/itemProps3.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customXml/itemProps4.xml><?xml version="1.0" encoding="utf-8"?>
<ds:datastoreItem xmlns:ds="http://schemas.openxmlformats.org/officeDocument/2006/customXml" ds:itemID="{AA85AC61-5723-4F7D-8D46-C22F68ADEF98}"/>
</file>

<file path=docProps/app.xml><?xml version="1.0" encoding="utf-8"?>
<Properties xmlns="http://schemas.openxmlformats.org/officeDocument/2006/extended-properties" xmlns:vt="http://schemas.openxmlformats.org/officeDocument/2006/docPropsVTypes">
  <Template>Normal.dotm</Template>
  <TotalTime>1040</TotalTime>
  <Application>LibreOffice/7.5.5.2$Windows_X86_64 LibreOffice_project/ca8fe7424262805f223b9a2334bc7181abbcbf5e</Application>
  <AppVersion>15.0000</AppVersion>
  <Pages>9</Pages>
  <Words>4424</Words>
  <Characters>25037</Characters>
  <CharactersWithSpaces>29162</CharactersWithSpaces>
  <Paragraphs>203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2023-05-20T12:26:00Z</dcterms:created>
  <dc:creator/>
  <dc:description/>
  <dc:language>pt-BR</dc:language>
  <cp:lastModifiedBy/>
  <cp:lastPrinted>2023-08-29T15:30:45Z</cp:lastPrinted>
  <dcterms:modified xsi:type="dcterms:W3CDTF">2023-08-29T15:59:07Z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